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FA212">
      <w:pPr>
        <w:spacing w:line="578" w:lineRule="exact"/>
        <w:jc w:val="center"/>
        <w:rPr>
          <w:rFonts w:hint="eastAsia" w:asciiTheme="majorEastAsia" w:hAnsiTheme="majorEastAsia" w:eastAsiaTheme="majorEastAsia" w:cstheme="majorEastAsia"/>
          <w:b/>
          <w:bCs/>
          <w:sz w:val="44"/>
          <w:szCs w:val="44"/>
        </w:rPr>
      </w:pPr>
      <w:bookmarkStart w:id="122" w:name="_GoBack"/>
      <w:bookmarkEnd w:id="122"/>
      <w:r>
        <w:rPr>
          <w:rFonts w:hint="eastAsia" w:asciiTheme="majorEastAsia" w:hAnsiTheme="majorEastAsia" w:eastAsiaTheme="majorEastAsia" w:cstheme="majorEastAsia"/>
          <w:b/>
          <w:bCs/>
          <w:sz w:val="44"/>
          <w:szCs w:val="44"/>
        </w:rPr>
        <w:t>西藏昌都市水利局机关</w:t>
      </w:r>
      <w:r>
        <w:rPr>
          <w:rFonts w:hint="default" w:asciiTheme="majorEastAsia" w:hAnsiTheme="majorEastAsia" w:eastAsiaTheme="majorEastAsia" w:cstheme="majorEastAsia"/>
          <w:b/>
          <w:bCs/>
          <w:sz w:val="44"/>
          <w:szCs w:val="44"/>
          <w:lang w:val="en-US"/>
        </w:rPr>
        <w:t>2025</w:t>
      </w:r>
      <w:r>
        <w:rPr>
          <w:rFonts w:hint="eastAsia" w:asciiTheme="majorEastAsia" w:hAnsiTheme="majorEastAsia" w:eastAsiaTheme="majorEastAsia" w:cstheme="majorEastAsia"/>
          <w:b/>
          <w:bCs/>
          <w:sz w:val="44"/>
          <w:szCs w:val="44"/>
        </w:rPr>
        <w:t>年度部门决算公开报告</w:t>
      </w:r>
    </w:p>
    <w:p w14:paraId="4638D799">
      <w:pPr>
        <w:spacing w:line="578" w:lineRule="exact"/>
        <w:jc w:val="center"/>
        <w:rPr>
          <w:rFonts w:hint="eastAsia" w:ascii="黑体" w:hAnsi="ˎ̥" w:eastAsia="黑体"/>
          <w:b/>
          <w:sz w:val="32"/>
          <w:szCs w:val="32"/>
        </w:rPr>
      </w:pPr>
    </w:p>
    <w:p w14:paraId="20A4E0E5">
      <w:pPr>
        <w:spacing w:line="578" w:lineRule="exact"/>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  录</w:t>
      </w:r>
    </w:p>
    <w:p w14:paraId="51A9F74E">
      <w:pPr>
        <w:pStyle w:val="16"/>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rPr>
        <w:t>第一部分 基本情况</w:t>
      </w:r>
      <w:r>
        <w:rPr>
          <w:sz w:val="32"/>
          <w:szCs w:val="32"/>
        </w:rPr>
        <w:tab/>
      </w:r>
      <w:r>
        <w:rPr>
          <w:sz w:val="32"/>
          <w:szCs w:val="32"/>
        </w:rPr>
        <w:fldChar w:fldCharType="end"/>
      </w:r>
      <w:r>
        <w:rPr>
          <w:rFonts w:hint="eastAsia"/>
          <w:sz w:val="32"/>
          <w:szCs w:val="32"/>
        </w:rPr>
        <w:t>2</w:t>
      </w:r>
    </w:p>
    <w:p w14:paraId="5CBD4514">
      <w:pPr>
        <w:pStyle w:val="17"/>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一、部门（单位）职责</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14:paraId="3C39C5AF">
      <w:pPr>
        <w:pStyle w:val="17"/>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12</w:t>
      </w:r>
    </w:p>
    <w:p w14:paraId="50E48DEA">
      <w:pPr>
        <w:pStyle w:val="16"/>
        <w:tabs>
          <w:tab w:val="right" w:leader="dot" w:pos="8306"/>
        </w:tabs>
        <w:spacing w:line="578" w:lineRule="exact"/>
        <w:rPr>
          <w:rFonts w:hint="default" w:eastAsia="宋体"/>
          <w:sz w:val="32"/>
          <w:szCs w:val="32"/>
          <w:lang w:val="en-US" w:eastAsia="zh-CN"/>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rPr>
        <w:t xml:space="preserve">第二部分  </w:t>
      </w:r>
      <w:r>
        <w:rPr>
          <w:rFonts w:hint="default" w:ascii="黑体" w:hAnsi="ˎ̥" w:eastAsia="黑体"/>
          <w:sz w:val="32"/>
          <w:szCs w:val="32"/>
          <w:lang w:val="en-US"/>
        </w:rPr>
        <w:t>2025</w:t>
      </w:r>
      <w:r>
        <w:rPr>
          <w:rFonts w:hint="eastAsia" w:ascii="黑体" w:hAnsi="ˎ̥" w:eastAsia="黑体"/>
          <w:sz w:val="32"/>
          <w:szCs w:val="32"/>
        </w:rPr>
        <w:t>年度部门决算公开表</w:t>
      </w:r>
      <w:r>
        <w:rPr>
          <w:sz w:val="32"/>
          <w:szCs w:val="32"/>
        </w:rPr>
        <w:tab/>
      </w:r>
      <w:r>
        <w:rPr>
          <w:sz w:val="32"/>
          <w:szCs w:val="32"/>
        </w:rPr>
        <w:fldChar w:fldCharType="end"/>
      </w:r>
      <w:r>
        <w:rPr>
          <w:rFonts w:hint="eastAsia"/>
          <w:sz w:val="32"/>
          <w:szCs w:val="32"/>
          <w:lang w:val="en-US" w:eastAsia="zh-CN"/>
        </w:rPr>
        <w:t>12</w:t>
      </w:r>
    </w:p>
    <w:p w14:paraId="1C414AD2">
      <w:pPr>
        <w:pStyle w:val="16"/>
        <w:tabs>
          <w:tab w:val="right" w:leader="dot" w:pos="8306"/>
        </w:tabs>
        <w:spacing w:line="578" w:lineRule="exact"/>
        <w:rPr>
          <w:rFonts w:hint="default" w:eastAsia="宋体"/>
          <w:sz w:val="32"/>
          <w:szCs w:val="32"/>
          <w:lang w:val="en-US" w:eastAsia="zh-CN"/>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rPr>
        <w:t>第三部分</w:t>
      </w:r>
      <w:r>
        <w:rPr>
          <w:rFonts w:hint="eastAsia"/>
          <w:sz w:val="32"/>
          <w:szCs w:val="32"/>
        </w:rPr>
        <w:t xml:space="preserve">  </w:t>
      </w:r>
      <w:r>
        <w:rPr>
          <w:rFonts w:hint="default" w:ascii="黑体" w:hAnsi="ˎ̥" w:eastAsia="黑体"/>
          <w:sz w:val="32"/>
          <w:szCs w:val="32"/>
          <w:lang w:val="en-US"/>
        </w:rPr>
        <w:t>2025</w:t>
      </w:r>
      <w:r>
        <w:rPr>
          <w:rFonts w:hint="eastAsia" w:ascii="黑体" w:hAnsi="ˎ̥" w:eastAsia="黑体"/>
          <w:sz w:val="32"/>
          <w:szCs w:val="32"/>
        </w:rPr>
        <w:t>年度部门决算情况说明</w:t>
      </w:r>
      <w:r>
        <w:rPr>
          <w:sz w:val="32"/>
          <w:szCs w:val="32"/>
        </w:rPr>
        <w:tab/>
      </w:r>
      <w:r>
        <w:rPr>
          <w:sz w:val="32"/>
          <w:szCs w:val="32"/>
        </w:rPr>
        <w:fldChar w:fldCharType="end"/>
      </w:r>
      <w:r>
        <w:rPr>
          <w:rFonts w:hint="eastAsia"/>
          <w:sz w:val="32"/>
          <w:szCs w:val="32"/>
          <w:lang w:val="en-US" w:eastAsia="zh-CN"/>
        </w:rPr>
        <w:t>12</w:t>
      </w:r>
    </w:p>
    <w:p w14:paraId="47C8CC39">
      <w:pPr>
        <w:pStyle w:val="17"/>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12</w:t>
      </w:r>
    </w:p>
    <w:p w14:paraId="6F0922A3">
      <w:pPr>
        <w:pStyle w:val="17"/>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13</w:t>
      </w:r>
    </w:p>
    <w:p w14:paraId="7BDF635E">
      <w:pPr>
        <w:pStyle w:val="17"/>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13</w:t>
      </w:r>
    </w:p>
    <w:p w14:paraId="43E1E6BD">
      <w:pPr>
        <w:pStyle w:val="17"/>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w:t>
      </w:r>
      <w:r>
        <w:rPr>
          <w:rFonts w:hint="eastAsia" w:ascii="仿宋" w:hAnsi="仿宋" w:eastAsia="仿宋" w:cs="仿宋"/>
          <w:bCs/>
          <w:sz w:val="32"/>
          <w:szCs w:val="32"/>
          <w:lang w:val="en-US" w:eastAsia="zh-CN"/>
        </w:rPr>
        <w:t>总体</w:t>
      </w:r>
      <w:r>
        <w:rPr>
          <w:rFonts w:hint="eastAsia" w:ascii="仿宋" w:hAnsi="仿宋" w:eastAsia="仿宋" w:cs="仿宋"/>
          <w:bCs/>
          <w:sz w:val="32"/>
          <w:szCs w:val="32"/>
        </w:rPr>
        <w:t>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13</w:t>
      </w:r>
    </w:p>
    <w:p w14:paraId="3D1E6468">
      <w:pPr>
        <w:pStyle w:val="17"/>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14</w:t>
      </w:r>
    </w:p>
    <w:p w14:paraId="3A1AD86C">
      <w:pPr>
        <w:pStyle w:val="17"/>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17</w:t>
      </w:r>
    </w:p>
    <w:p w14:paraId="1814DD63">
      <w:pPr>
        <w:pStyle w:val="17"/>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18</w:t>
      </w:r>
    </w:p>
    <w:p w14:paraId="78C850F4">
      <w:pPr>
        <w:pStyle w:val="17"/>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19</w:t>
      </w:r>
    </w:p>
    <w:p w14:paraId="66DC6955">
      <w:pPr>
        <w:pStyle w:val="17"/>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19</w:t>
      </w:r>
    </w:p>
    <w:p w14:paraId="4407DAA7">
      <w:pPr>
        <w:pStyle w:val="17"/>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20</w:t>
      </w:r>
    </w:p>
    <w:p w14:paraId="3A8943D4">
      <w:pPr>
        <w:pStyle w:val="17"/>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bCs/>
          <w:sz w:val="32"/>
          <w:szCs w:val="32"/>
        </w:rPr>
        <w:t>十一、其他重要事项情况说明</w:t>
      </w:r>
      <w:r>
        <w:rPr>
          <w:rFonts w:hint="eastAsia" w:ascii="仿宋" w:hAnsi="仿宋" w:eastAsia="仿宋" w:cs="仿宋"/>
          <w:sz w:val="32"/>
          <w:szCs w:val="32"/>
        </w:rPr>
        <w:tab/>
      </w:r>
      <w:r>
        <w:rPr>
          <w:rFonts w:hint="eastAsia" w:ascii="仿宋" w:hAnsi="仿宋" w:eastAsia="仿宋" w:cs="仿宋"/>
          <w:sz w:val="32"/>
          <w:szCs w:val="32"/>
          <w:lang w:val="en-US" w:eastAsia="zh-CN"/>
        </w:rPr>
        <w:t>24</w:t>
      </w:r>
    </w:p>
    <w:p w14:paraId="303DA736">
      <w:pPr>
        <w:pStyle w:val="16"/>
        <w:tabs>
          <w:tab w:val="right" w:leader="dot" w:pos="8306"/>
        </w:tabs>
        <w:spacing w:line="578" w:lineRule="exact"/>
        <w:rPr>
          <w:rFonts w:hint="eastAsia" w:ascii="黑体" w:hAnsi="ˎ̥" w:eastAsia="宋体"/>
          <w:b/>
          <w:sz w:val="32"/>
          <w:szCs w:val="32"/>
          <w:lang w:val="en-US" w:eastAsia="zh-CN"/>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rPr>
        <w:t>第四部分  名词解释</w:t>
      </w:r>
      <w:r>
        <w:rPr>
          <w:sz w:val="32"/>
          <w:szCs w:val="32"/>
        </w:rPr>
        <w:tab/>
      </w:r>
      <w:r>
        <w:rPr>
          <w:rFonts w:hint="eastAsia"/>
          <w:sz w:val="32"/>
          <w:szCs w:val="32"/>
          <w:lang w:val="en-US" w:eastAsia="zh-CN"/>
        </w:rPr>
        <w:t>2</w:t>
      </w:r>
      <w:r>
        <w:rPr>
          <w:sz w:val="32"/>
          <w:szCs w:val="32"/>
        </w:rPr>
        <w:fldChar w:fldCharType="end"/>
      </w:r>
      <w:bookmarkEnd w:id="0"/>
      <w:r>
        <w:rPr>
          <w:rFonts w:hint="eastAsia"/>
          <w:sz w:val="32"/>
          <w:szCs w:val="32"/>
          <w:lang w:val="en-US" w:eastAsia="zh-CN"/>
        </w:rPr>
        <w:t>4</w:t>
      </w:r>
    </w:p>
    <w:p w14:paraId="7BA580EC">
      <w:pPr>
        <w:spacing w:line="578" w:lineRule="exact"/>
        <w:jc w:val="both"/>
        <w:rPr>
          <w:rFonts w:hint="eastAsia" w:ascii="黑体" w:hAnsi="ˎ̥" w:eastAsia="黑体"/>
          <w:sz w:val="32"/>
          <w:szCs w:val="32"/>
        </w:rPr>
      </w:pPr>
      <w:bookmarkStart w:id="1" w:name="_Toc23465_WPSOffice_Level1"/>
      <w:bookmarkStart w:id="2" w:name="_Toc22941_WPSOffice_Level1"/>
      <w:bookmarkStart w:id="3" w:name="_Toc1704_WPSOffice_Level1"/>
      <w:bookmarkStart w:id="4" w:name="_Toc32433_WPSOffice_Level1"/>
      <w:bookmarkStart w:id="5" w:name="_Toc10720_WPSOffice_Level1"/>
      <w:bookmarkStart w:id="6" w:name="_Toc10049_WPSOffice_Level1"/>
      <w:bookmarkStart w:id="7" w:name="_Toc24238_WPSOffice_Level2"/>
      <w:bookmarkStart w:id="8" w:name="_Toc20274_WPSOffice_Level2"/>
      <w:bookmarkStart w:id="9" w:name="_Toc26580_WPSOffice_Level2"/>
      <w:bookmarkStart w:id="10" w:name="_Toc14159_WPSOffice_Level2"/>
      <w:bookmarkStart w:id="11" w:name="_Toc32622_WPSOffice_Level2"/>
      <w:bookmarkStart w:id="12" w:name="_Toc20205_WPSOffice_Level2"/>
    </w:p>
    <w:p w14:paraId="0586F5DD">
      <w:pPr>
        <w:spacing w:line="578" w:lineRule="exact"/>
        <w:jc w:val="center"/>
        <w:rPr>
          <w:rFonts w:hint="eastAsia" w:ascii="黑体" w:hAnsi="ˎ̥" w:eastAsia="黑体"/>
          <w:sz w:val="32"/>
          <w:szCs w:val="32"/>
        </w:rPr>
      </w:pPr>
      <w:r>
        <w:rPr>
          <w:rFonts w:hint="eastAsia" w:ascii="黑体" w:hAnsi="ˎ̥" w:eastAsia="黑体"/>
          <w:sz w:val="32"/>
          <w:szCs w:val="32"/>
        </w:rPr>
        <w:t xml:space="preserve">第一部分  </w:t>
      </w:r>
      <w:bookmarkEnd w:id="1"/>
      <w:bookmarkEnd w:id="2"/>
      <w:bookmarkEnd w:id="3"/>
      <w:bookmarkEnd w:id="4"/>
      <w:bookmarkEnd w:id="5"/>
      <w:bookmarkEnd w:id="6"/>
      <w:r>
        <w:rPr>
          <w:rFonts w:hint="eastAsia" w:ascii="黑体" w:hAnsi="ˎ̥" w:eastAsia="黑体"/>
          <w:sz w:val="32"/>
          <w:szCs w:val="32"/>
        </w:rPr>
        <w:t>基本情况</w:t>
      </w:r>
    </w:p>
    <w:p w14:paraId="55462B84">
      <w:pPr>
        <w:spacing w:line="578" w:lineRule="exact"/>
        <w:ind w:firstLine="640" w:firstLineChars="200"/>
        <w:rPr>
          <w:rFonts w:hint="eastAsia" w:ascii="楷体" w:hAnsi="楷体" w:eastAsia="楷体" w:cs="楷体"/>
          <w:sz w:val="32"/>
          <w:szCs w:val="32"/>
        </w:rPr>
      </w:pPr>
    </w:p>
    <w:p w14:paraId="17A61F8F">
      <w:pPr>
        <w:numPr>
          <w:ilvl w:val="0"/>
          <w:numId w:val="2"/>
        </w:num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部门</w:t>
      </w:r>
      <w:bookmarkEnd w:id="7"/>
      <w:r>
        <w:rPr>
          <w:rFonts w:hint="eastAsia" w:ascii="黑体" w:hAnsi="黑体" w:eastAsia="黑体" w:cs="黑体"/>
          <w:sz w:val="32"/>
          <w:szCs w:val="32"/>
        </w:rPr>
        <w:t>（单位）职责</w:t>
      </w:r>
      <w:bookmarkEnd w:id="8"/>
      <w:bookmarkEnd w:id="9"/>
      <w:bookmarkEnd w:id="10"/>
      <w:bookmarkEnd w:id="11"/>
      <w:bookmarkEnd w:id="12"/>
    </w:p>
    <w:p w14:paraId="0E5EC62A">
      <w:pPr>
        <w:spacing w:line="560" w:lineRule="exact"/>
        <w:ind w:firstLine="640" w:firstLineChars="200"/>
        <w:rPr>
          <w:rFonts w:hint="eastAsia" w:ascii="宋体" w:hAnsi="宋体" w:eastAsia="宋体" w:cs="宋体"/>
          <w:b w:val="0"/>
          <w:bCs/>
          <w:color w:val="auto"/>
          <w:sz w:val="32"/>
          <w:szCs w:val="32"/>
        </w:rPr>
      </w:pPr>
      <w:r>
        <w:rPr>
          <w:rFonts w:hint="eastAsia" w:ascii="宋体" w:hAnsi="宋体" w:eastAsia="宋体" w:cs="宋体"/>
          <w:b w:val="0"/>
          <w:bCs/>
          <w:color w:val="auto"/>
          <w:sz w:val="32"/>
          <w:szCs w:val="32"/>
        </w:rPr>
        <w:t>1、主要职能</w:t>
      </w:r>
    </w:p>
    <w:p w14:paraId="2123455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sz w:val="32"/>
          <w:szCs w:val="32"/>
          <w:highlight w:val="none"/>
          <w:lang w:eastAsia="zh-CN"/>
        </w:rPr>
        <w:t>第一条</w:t>
      </w:r>
      <w:r>
        <w:rPr>
          <w:rFonts w:hint="eastAsia" w:ascii="仿宋_GB2312" w:hAnsi="仿宋_GB2312" w:eastAsia="仿宋_GB2312" w:cs="仿宋_GB2312"/>
          <w:sz w:val="32"/>
          <w:szCs w:val="32"/>
          <w:highlight w:val="none"/>
          <w:lang w:eastAsia="zh-CN"/>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为规范昌都市水利局（以下简称市水利局）的职能配置、内设机构和人员编制，推进机构、职能、权限、程序、责任法定化，根据《中国共产党机构编制工作条例》《昌都市机构改革方案》以及市委对水利工作的有关要求，制定本规定。</w:t>
      </w:r>
    </w:p>
    <w:p w14:paraId="7CC4D9D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sz w:val="32"/>
          <w:szCs w:val="32"/>
          <w:highlight w:val="none"/>
          <w:lang w:eastAsia="zh-CN"/>
        </w:rPr>
        <w:t>第二条</w:t>
      </w:r>
      <w:r>
        <w:rPr>
          <w:rFonts w:hint="eastAsia" w:ascii="仿宋_GB2312" w:hAnsi="仿宋_GB2312" w:eastAsia="仿宋_GB2312" w:cs="仿宋_GB2312"/>
          <w:sz w:val="32"/>
          <w:szCs w:val="32"/>
          <w:highlight w:val="none"/>
          <w:lang w:eastAsia="zh-CN"/>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市水利局是市政府工作部门，为正县级。</w:t>
      </w:r>
    </w:p>
    <w:p w14:paraId="460AB76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sz w:val="32"/>
          <w:szCs w:val="32"/>
          <w:highlight w:val="none"/>
          <w:lang w:val="en" w:eastAsia="zh-CN"/>
        </w:rPr>
        <w:t>第三条</w:t>
      </w:r>
      <w:r>
        <w:rPr>
          <w:rFonts w:hint="eastAsia" w:ascii="仿宋_GB2312" w:hAnsi="仿宋_GB2312" w:eastAsia="仿宋_GB2312" w:cs="仿宋_GB2312"/>
          <w:sz w:val="32"/>
          <w:szCs w:val="32"/>
          <w:highlight w:val="none"/>
          <w:lang w:val="en-US" w:eastAsia="zh-CN"/>
        </w:rPr>
        <w:t xml:space="preserve">  本规定确定的主要职责、机构设置、人员编制等，是市水利局机构职责权限、人员配备和工作运行的基本依据。</w:t>
      </w:r>
    </w:p>
    <w:p w14:paraId="0B226CC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sz w:val="32"/>
          <w:szCs w:val="32"/>
          <w:highlight w:val="none"/>
          <w:lang w:eastAsia="zh-CN"/>
        </w:rPr>
        <w:t>第四条</w:t>
      </w:r>
      <w:r>
        <w:rPr>
          <w:rFonts w:hint="eastAsia" w:ascii="仿宋_GB2312" w:hAnsi="仿宋_GB2312" w:eastAsia="仿宋_GB2312" w:cs="仿宋_GB2312"/>
          <w:sz w:val="32"/>
          <w:szCs w:val="32"/>
          <w:highlight w:val="none"/>
          <w:lang w:eastAsia="zh-CN"/>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市水利局负责贯彻落实党中央关于水利工作的方针政策和自治区党委、市委的工作要求，</w:t>
      </w:r>
      <w:r>
        <w:rPr>
          <w:rFonts w:hint="eastAsia" w:ascii="仿宋_GB2312" w:hAnsi="仿宋_GB2312" w:eastAsia="仿宋_GB2312" w:cs="仿宋_GB2312"/>
          <w:sz w:val="32"/>
          <w:szCs w:val="32"/>
          <w:highlight w:val="none"/>
          <w:lang w:val="en" w:eastAsia="zh-CN"/>
        </w:rPr>
        <w:t>把坚持党对水利工作的领导落实到</w:t>
      </w:r>
      <w:r>
        <w:rPr>
          <w:rFonts w:hint="eastAsia" w:ascii="仿宋_GB2312" w:hAnsi="仿宋_GB2312" w:eastAsia="仿宋_GB2312" w:cs="仿宋_GB2312"/>
          <w:sz w:val="32"/>
          <w:szCs w:val="32"/>
          <w:highlight w:val="none"/>
          <w:lang w:eastAsia="zh-CN"/>
        </w:rPr>
        <w:t>履行职责过程中，聚焦“四件大事”聚力“四个创建”，统筹水资源合理开发利用和保护，推进重点水利项目建设和水利基础设施建设，保障农牧区供水灌溉和水旱灾害防御</w:t>
      </w:r>
      <w:r>
        <w:rPr>
          <w:rFonts w:hint="eastAsia"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加强重要江河湖泊生态环境保护和治理，助力高原经济高质量发展、国家生态文明高地创建。主要职责是：</w:t>
      </w:r>
    </w:p>
    <w:p w14:paraId="361121D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（一）负责保障水资源的合理开发利用</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拟订全市水利规划，贯彻落实有关水利工作法律法规、地方性法规和政府规章</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组织编制全市水资源规划、重要江河湖泊流域综合规划、防洪规划等水利规划。</w:t>
      </w:r>
    </w:p>
    <w:p w14:paraId="67282C2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（二）负责生活、生产经营和生态环境用水的统筹和保障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组织实施最严格水资源管理制度，实施水资源的统一监督管理，拟订全市和跨县（区）的水中长期供求规划、水量分配方案并监督实施</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负责全市重要流域、区域以及重大水利工程的水资源调度</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组织实施取水许可、水资源论证、防洪论证和规划同意书制度，指导开展水资源有偿使用工作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指导水利行业供水和乡镇（街道）供水工作。</w:t>
      </w:r>
    </w:p>
    <w:p w14:paraId="24DA543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三）按规定制定水利工程建设有关制度并组织实施，负责提出全市水利固定资产投资规模、方向、具体安排建议并组织指导实施，按规定权限审批、核准市规划内和年度计划规模内固定资产投资项目，提出全市水利资金安排建议并负责项目实施的监督管理。</w:t>
      </w:r>
    </w:p>
    <w:p w14:paraId="3710FD3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highlight w:val="none"/>
          <w:lang w:val="en" w:eastAsia="zh-CN"/>
        </w:rPr>
      </w:pPr>
      <w:r>
        <w:rPr>
          <w:rFonts w:hint="eastAsia" w:ascii="仿宋_GB2312" w:hAnsi="仿宋_GB2312" w:eastAsia="仿宋_GB2312" w:cs="仿宋_GB2312"/>
          <w:sz w:val="32"/>
          <w:szCs w:val="32"/>
          <w:highlight w:val="none"/>
          <w:lang w:eastAsia="zh-CN"/>
        </w:rPr>
        <w:t>（四）指导水资源保护工作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组织编制并实施水资源保护规划</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指导饮用水水源保护有关工作，指导地下水资源开发利用和管理保护</w:t>
      </w:r>
      <w:r>
        <w:rPr>
          <w:rFonts w:hint="default" w:ascii="仿宋_GB2312" w:hAnsi="仿宋_GB2312" w:eastAsia="仿宋_GB2312" w:cs="仿宋_GB2312"/>
          <w:sz w:val="32"/>
          <w:szCs w:val="32"/>
          <w:highlight w:val="none"/>
          <w:lang w:val="en" w:eastAsia="zh-CN"/>
        </w:rPr>
        <w:t>。</w:t>
      </w:r>
    </w:p>
    <w:p w14:paraId="464C5C8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（五）负责节约用水工作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贯彻落实节约用水政策</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组织编制节约用水规划并监督实施，依法依规落实节约用水标准化工作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组织实施用水总量</w:t>
      </w:r>
      <w:r>
        <w:rPr>
          <w:rFonts w:hint="eastAsia" w:ascii="仿宋_GB2312" w:hAnsi="仿宋_GB2312" w:eastAsia="仿宋_GB2312" w:cs="仿宋_GB2312"/>
          <w:color w:val="auto"/>
          <w:sz w:val="32"/>
          <w:szCs w:val="32"/>
          <w:highlight w:val="none"/>
          <w:lang w:eastAsia="zh-CN"/>
        </w:rPr>
        <w:t>控制与强度控制等</w:t>
      </w:r>
      <w:r>
        <w:rPr>
          <w:rFonts w:hint="eastAsia" w:ascii="仿宋_GB2312" w:hAnsi="仿宋_GB2312" w:eastAsia="仿宋_GB2312" w:cs="仿宋_GB2312"/>
          <w:sz w:val="32"/>
          <w:szCs w:val="32"/>
          <w:highlight w:val="none"/>
          <w:lang w:eastAsia="zh-CN"/>
        </w:rPr>
        <w:t>管理制度，指导和推动节水型社会建设工作。</w:t>
      </w:r>
    </w:p>
    <w:p w14:paraId="58F26AC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 w:eastAsia="zh-CN"/>
        </w:rPr>
      </w:pPr>
      <w:r>
        <w:rPr>
          <w:rFonts w:hint="eastAsia" w:ascii="仿宋_GB2312" w:hAnsi="仿宋_GB2312" w:eastAsia="仿宋_GB2312" w:cs="仿宋_GB2312"/>
          <w:sz w:val="32"/>
          <w:szCs w:val="32"/>
          <w:highlight w:val="none"/>
          <w:lang w:eastAsia="zh-CN"/>
        </w:rPr>
        <w:t>（六）指导水利设施、水域及其岸线的管理、保护与综合利用</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组织指导水利基础设施网络建设</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指导全市重要江河湖泊及河口的治理、开发和保护</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指导河湖水生态保护与修复、河湖生态流量水量管理以及河湖水系连通工作，组织开展重点河段水生态综合整治</w:t>
      </w:r>
      <w:r>
        <w:rPr>
          <w:rFonts w:hint="eastAsia" w:ascii="仿宋_GB2312" w:hAnsi="仿宋_GB2312" w:eastAsia="仿宋_GB2312" w:cs="仿宋_GB2312"/>
          <w:sz w:val="32"/>
          <w:szCs w:val="32"/>
          <w:highlight w:val="none"/>
          <w:lang w:val="en" w:eastAsia="zh-CN"/>
        </w:rPr>
        <w:t>。</w:t>
      </w:r>
    </w:p>
    <w:p w14:paraId="77DCAD4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（七）指导监督水利工程建设与运行管理</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组织实施具有控制性的或跨县（区）跨流域的重要水利工程建设与运行管理。</w:t>
      </w:r>
    </w:p>
    <w:p w14:paraId="6CEAD36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（八）负责水土保持工作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拟订水土保持规划并监督实施，组织实施水土流失的综合防治、监测预报并定期公告</w:t>
      </w:r>
      <w:r>
        <w:rPr>
          <w:rFonts w:hint="eastAsia"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负责全市建设项目水土保持监督管理工作和重点生产建设项目水土保持方案审批工作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指导全市重点水土保持建设项目的实施。</w:t>
      </w:r>
    </w:p>
    <w:p w14:paraId="2BE3EE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（九）指导农牧区水利工作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组织开展大中型灌排工程建设与改造，指导节水灌溉有关工作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指导农村饮水安全工程建设管理工作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指导农村水利改革创新和社会化服务体系建设</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指导农村水能资源开发、小水电改造和水电农村电气化工作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统筹协调水利行业乡村振兴工作。</w:t>
      </w:r>
    </w:p>
    <w:p w14:paraId="426E7B8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（十）指导水利水电工程移民管理工作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监督实施水利工程移民有关政策，组织实施水利水电工程移民安置验收、监督评估等制度</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指导监督实施水库移民后期扶持政策。</w:t>
      </w:r>
    </w:p>
    <w:p w14:paraId="7BB240D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（十一）负责全市重大涉水违法事件的查处，协调和仲裁跨县（区）水事纠纷，负责水政监察和水政执法</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指导水利建设市场的监督管理，组织实施水利工程建设的监督。</w:t>
      </w:r>
    </w:p>
    <w:p w14:paraId="30DD822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（十二）指导开展水利科技工作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组织开展水利行业质量监督工作，参与水利科学研究、技术引进和科技推广，执行水利行业的技术标准、规程规范</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承担水利统计工作，指导水利信息化、水利行业队伍建设。</w:t>
      </w:r>
    </w:p>
    <w:p w14:paraId="14E0F8E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（十三）负责落实综合防灾减灾规划相关要求，组织编制市洪水干旱灾害防治规划并指导实施，依法依规贯彻落实防护标准化工作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承担全市水情旱情监测预警工作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组织编制全市重要江河湖泊和重要水工程的防御洪水抗御旱灾调度及应急水量调度方案，按程序报批并组织实施</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承担防御洪水应急抢险的技术支撑工作。</w:t>
      </w:r>
    </w:p>
    <w:p w14:paraId="77806DC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（十四）组织协调相关部门单位落实河湖长制各项任务，开展河湖管理保护相关工作。督促落实市河湖长会议决定事项和昌都市总河长、河长确定的事项</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指</w:t>
      </w:r>
      <w:r>
        <w:rPr>
          <w:rFonts w:hint="eastAsia" w:ascii="仿宋_GB2312" w:hAnsi="仿宋_GB2312" w:eastAsia="仿宋_GB2312" w:cs="仿宋_GB2312"/>
          <w:color w:val="auto"/>
          <w:sz w:val="32"/>
          <w:szCs w:val="32"/>
          <w:highlight w:val="none"/>
          <w:lang w:eastAsia="zh-CN"/>
        </w:rPr>
        <w:t>导各县</w:t>
      </w:r>
      <w:r>
        <w:rPr>
          <w:rFonts w:hint="eastAsia" w:ascii="仿宋_GB2312" w:hAnsi="仿宋_GB2312" w:eastAsia="仿宋_GB2312" w:cs="仿宋_GB2312"/>
          <w:sz w:val="32"/>
          <w:szCs w:val="32"/>
          <w:highlight w:val="none"/>
          <w:lang w:eastAsia="zh-CN"/>
        </w:rPr>
        <w:t>（区）全面推行河湖长制工作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组织开展全市河湖长制考核评估和监督管理。</w:t>
      </w:r>
    </w:p>
    <w:p w14:paraId="1BA0E4F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（十五）</w:t>
      </w:r>
      <w:r>
        <w:rPr>
          <w:rFonts w:hint="eastAsia" w:ascii="仿宋_GB2312" w:hAnsi="仿宋_GB2312" w:eastAsia="仿宋_GB2312" w:cs="仿宋_GB2312"/>
          <w:sz w:val="32"/>
          <w:szCs w:val="32"/>
          <w:highlight w:val="none"/>
          <w:lang w:val="en-US" w:eastAsia="zh-CN"/>
        </w:rPr>
        <w:t>负责本行业领域安全生产监管和应急处置工作。</w:t>
      </w:r>
    </w:p>
    <w:p w14:paraId="142B4BC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（十六）完成市委、市政府交办的其他任务。</w:t>
      </w:r>
    </w:p>
    <w:p w14:paraId="321B8CC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sz w:val="32"/>
          <w:szCs w:val="32"/>
          <w:highlight w:val="none"/>
          <w:lang w:eastAsia="zh-CN"/>
        </w:rPr>
        <w:t>第五条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职能转变。市水利局要切实强化全市水资源合理利用、高效配置和节约保护，更加重视需求管理，提高水资源集约节约安全利用。坚持节水优先，严格控制用水总量和提高用水效率，推动节水型社会建设。坚持保护优先，加强水资源、水域、水利工程的管理保护和重要江河湖泊保护治理，维护河湖健康美丽。坚持统筹兼顾，推进水网骨干工程建设和河湖水生态保护与修复，强化水利有效投资和水资源可持续利用</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eastAsia="zh-CN"/>
        </w:rPr>
        <w:t>坚持服务民生，提升农牧区供水灌溉保障水平和水旱灾害防御能力，为经济社会发展提供水安全保障。</w:t>
      </w:r>
    </w:p>
    <w:p w14:paraId="646FCAE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sz w:val="32"/>
          <w:szCs w:val="32"/>
          <w:highlight w:val="none"/>
          <w:lang w:eastAsia="zh-CN"/>
        </w:rPr>
        <w:t>第六条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与其他部门的职责分工：</w:t>
      </w:r>
    </w:p>
    <w:p w14:paraId="383B479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一）与市自然资源局的有关职责分工。市水利局负责保障水资源的合理开发利用，实施水资源的统一监督管理，按规定组织开展水资源、水能资源综合调查评价和水资源承载能力监测预警工作。市自然资源局负责配合开展水资源调查，负责确权登记管理工作。</w:t>
      </w:r>
    </w:p>
    <w:p w14:paraId="3252B1D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二）与市生态环境局的有关职责分工。市水利局指导水资源保护工作，组织编制并实施水资源保护规划，指导饮用水水源保护有关工作，参与编制水功能区划工作。市生态环境局负责编制水功能区划、排污口设置管理和流域水环境保护工作。</w:t>
      </w:r>
    </w:p>
    <w:p w14:paraId="2940CDC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三）与市农业农村局的有关职责分工。市水利局负责指导农牧区水利工作，组织开展大中型灌排工程建设与改造，指导农村饮水安全工程建设管理工作，指导节水灌溉有关工作。市农业农村局负责中央和地方财政水利发展资金安排的面上小型农田水利设施建设项目管理。</w:t>
      </w:r>
    </w:p>
    <w:p w14:paraId="251844B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四）与市应急管理局的有关职责分工。市水利局负责落实综合防灾减灾规划相关要求，组织编制市洪水干旱灾害防治规划并指导实施。依法依规贯彻落实防护标准。承担全市水情旱情监测预警工作。组织编制重要江河湖泊和重要水工程的防御洪水抗御旱灾调度及应急水量调度方案，按程序报批并组织实施。承担防御洪水应急抢险的技术支撑工作。市应急管理局负责组织编制市总体应急预案和自然灾害类专项预案，组织协调重大灾害应急抢险救援工作。组织编制综合防灾减灾规划，指导协调相关部门水旱灾害防治工作。</w:t>
      </w:r>
    </w:p>
    <w:p w14:paraId="6D4C583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与市能源局有关职责分工。市水利局负责组织编制全市水资源规划、重要江河湖流域综合规划等，指导农村水能资源开发、小水电改造和水电农村电气化工作，负责水利归口管理小水电的行业管理。市能源局负责指导协调水能发展，负责电力归口管理水电的行业管理。</w:t>
      </w:r>
    </w:p>
    <w:p w14:paraId="306E9D7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（六）与卡若区城市管理局有关职责分工。市水利局负责流经城市建成区内江河治理、开发和保护等工作</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val="en-US" w:eastAsia="zh-CN"/>
        </w:rPr>
        <w:t>负责水土保持情况监督检查</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val="en-US" w:eastAsia="zh-CN"/>
        </w:rPr>
        <w:t>负责侵占、毁坏水工程及堤防、护岸等有关设施，毁坏防汛设施的执法工作。卡若区城市管理局负责城市建成区内河道河堤倾倒废弃物和垃圾及违规取土、城市河道违法建筑物拆除等执法工作。</w:t>
      </w:r>
    </w:p>
    <w:p w14:paraId="74BAD99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eastAsia="zh-CN"/>
        </w:rPr>
        <w:t>第七条</w:t>
      </w:r>
      <w:r>
        <w:rPr>
          <w:rFonts w:hint="eastAsia" w:ascii="仿宋_GB2312" w:hAnsi="仿宋_GB2312" w:eastAsia="仿宋_GB2312" w:cs="仿宋_GB2312"/>
          <w:sz w:val="32"/>
          <w:szCs w:val="32"/>
          <w:highlight w:val="none"/>
          <w:lang w:val="en-US" w:eastAsia="zh-CN"/>
        </w:rPr>
        <w:t xml:space="preserve">  市水利局根据本规定第四条所明确的主要职责，编制权责清单，逐项明确权责名称、权责类型、设定依据、履责方式、追责情形等。在此基础上，制定办事指南、运行流程图等，进一步优化行政程序，规范权力运行。</w:t>
      </w:r>
    </w:p>
    <w:p w14:paraId="571C7E4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sz w:val="32"/>
          <w:szCs w:val="32"/>
          <w:highlight w:val="none"/>
          <w:lang w:eastAsia="zh-CN"/>
        </w:rPr>
        <w:t>第八条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市水利局设下列</w:t>
      </w:r>
      <w:r>
        <w:rPr>
          <w:rFonts w:hint="eastAsia" w:ascii="仿宋_GB2312" w:hAnsi="仿宋_GB2312" w:eastAsia="仿宋_GB2312" w:cs="仿宋_GB2312"/>
          <w:sz w:val="32"/>
          <w:szCs w:val="32"/>
          <w:highlight w:val="none"/>
          <w:lang w:val="en-US" w:eastAsia="zh-CN"/>
        </w:rPr>
        <w:t>正科级</w:t>
      </w:r>
      <w:r>
        <w:rPr>
          <w:rFonts w:hint="eastAsia" w:ascii="仿宋_GB2312" w:hAnsi="仿宋_GB2312" w:eastAsia="仿宋_GB2312" w:cs="仿宋_GB2312"/>
          <w:sz w:val="32"/>
          <w:szCs w:val="32"/>
          <w:highlight w:val="none"/>
          <w:lang w:eastAsia="zh-CN"/>
        </w:rPr>
        <w:t>内设机构：</w:t>
      </w:r>
    </w:p>
    <w:p w14:paraId="53EE0DF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
        </w:rPr>
      </w:pPr>
      <w:r>
        <w:rPr>
          <w:rFonts w:hint="eastAsia" w:ascii="楷体_GB2312" w:hAnsi="楷体_GB2312" w:eastAsia="楷体_GB2312" w:cs="楷体_GB2312"/>
          <w:sz w:val="32"/>
          <w:szCs w:val="32"/>
          <w:highlight w:val="none"/>
          <w:lang w:eastAsia="zh-CN"/>
        </w:rPr>
        <w:t>（一）办公室。</w:t>
      </w:r>
      <w:r>
        <w:rPr>
          <w:rFonts w:hint="eastAsia" w:ascii="仿宋_GB2312" w:hAnsi="仿宋_GB2312" w:eastAsia="仿宋_GB2312" w:cs="仿宋_GB2312"/>
          <w:sz w:val="32"/>
          <w:szCs w:val="32"/>
        </w:rPr>
        <w:t>负责机关日常运转工作，承担</w:t>
      </w:r>
      <w:r>
        <w:rPr>
          <w:rFonts w:hint="eastAsia" w:ascii="仿宋_GB2312" w:hAnsi="仿宋_GB2312" w:eastAsia="仿宋_GB2312" w:cs="仿宋_GB2312"/>
          <w:sz w:val="32"/>
          <w:szCs w:val="32"/>
          <w:lang w:eastAsia="zh-CN"/>
        </w:rPr>
        <w:t>综合协调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文电会务、机要保密</w:t>
      </w:r>
      <w:r>
        <w:rPr>
          <w:rFonts w:hint="eastAsia" w:ascii="仿宋_GB2312" w:hAnsi="仿宋_GB2312" w:eastAsia="仿宋_GB2312" w:cs="仿宋_GB2312"/>
          <w:sz w:val="32"/>
          <w:szCs w:val="32"/>
        </w:rPr>
        <w:t>、政务公开、信息、</w:t>
      </w:r>
      <w:r>
        <w:rPr>
          <w:rFonts w:hint="eastAsia" w:ascii="仿宋_GB2312" w:hAnsi="仿宋_GB2312" w:eastAsia="仿宋_GB2312" w:cs="仿宋_GB2312"/>
          <w:sz w:val="32"/>
          <w:szCs w:val="32"/>
          <w:lang w:eastAsia="zh-CN"/>
        </w:rPr>
        <w:t>安全、信访、档案、督查、财务、资产管理等工作。</w:t>
      </w:r>
      <w:r>
        <w:rPr>
          <w:rFonts w:hint="eastAsia" w:ascii="仿宋_GB2312" w:hAnsi="仿宋_GB2312" w:eastAsia="仿宋_GB2312" w:cs="仿宋_GB2312"/>
          <w:sz w:val="32"/>
          <w:szCs w:val="32"/>
        </w:rPr>
        <w:t>办理人大代表建议和政协提案</w:t>
      </w:r>
      <w:r>
        <w:rPr>
          <w:rFonts w:hint="default" w:ascii="仿宋_GB2312" w:hAnsi="仿宋_GB2312" w:eastAsia="仿宋_GB2312" w:cs="仿宋_GB2312"/>
          <w:sz w:val="32"/>
          <w:szCs w:val="32"/>
          <w:lang w:val="en"/>
        </w:rPr>
        <w:t>。</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eastAsia="zh-CN"/>
        </w:rPr>
        <w:t>制定机关管理有关制度和工作计划。</w:t>
      </w:r>
      <w:r>
        <w:rPr>
          <w:rFonts w:hint="eastAsia" w:ascii="仿宋_GB2312" w:hAnsi="仿宋_GB2312" w:eastAsia="仿宋_GB2312" w:cs="仿宋_GB2312"/>
          <w:sz w:val="32"/>
          <w:szCs w:val="32"/>
        </w:rPr>
        <w:t>负责机关</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所属事业单位</w:t>
      </w:r>
      <w:r>
        <w:rPr>
          <w:rFonts w:hint="eastAsia" w:ascii="仿宋_GB2312" w:hAnsi="仿宋_GB2312" w:eastAsia="仿宋_GB2312" w:cs="仿宋_GB2312"/>
          <w:sz w:val="32"/>
          <w:szCs w:val="32"/>
          <w:lang w:eastAsia="zh-CN"/>
        </w:rPr>
        <w:t>的干部人事、工资福利、教育培训、人才队伍和离退休人员服务管理和党群等工作。承担有关规范性文件合法性审核工作。</w:t>
      </w:r>
    </w:p>
    <w:p w14:paraId="33BCEEF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highlight w:val="none"/>
          <w:lang w:eastAsia="zh-CN"/>
        </w:rPr>
        <w:t>（二）规划计划科。</w:t>
      </w:r>
      <w:r>
        <w:rPr>
          <w:rFonts w:hint="eastAsia" w:ascii="仿宋_GB2312" w:hAnsi="仿宋_GB2312" w:eastAsia="仿宋_GB2312" w:cs="仿宋_GB2312"/>
          <w:sz w:val="32"/>
          <w:szCs w:val="32"/>
        </w:rPr>
        <w:t>拟订全市水利规划，组织编制水利综合规划、专业规划和专项规划</w:t>
      </w:r>
      <w:r>
        <w:rPr>
          <w:rFonts w:hint="default" w:ascii="仿宋_GB2312" w:hAnsi="仿宋_GB2312" w:eastAsia="仿宋_GB2312" w:cs="仿宋_GB2312"/>
          <w:sz w:val="32"/>
          <w:szCs w:val="32"/>
          <w:lang w:val="en"/>
        </w:rPr>
        <w:t>。</w:t>
      </w:r>
      <w:r>
        <w:rPr>
          <w:rFonts w:hint="eastAsia" w:ascii="仿宋_GB2312" w:hAnsi="仿宋_GB2312" w:eastAsia="仿宋_GB2312" w:cs="仿宋_GB2312"/>
          <w:sz w:val="32"/>
          <w:szCs w:val="32"/>
        </w:rPr>
        <w:t>审核全市水利建设项目建议书、可行性研究报告和初步设计</w:t>
      </w:r>
      <w:r>
        <w:rPr>
          <w:rFonts w:hint="default" w:ascii="仿宋_GB2312" w:hAnsi="仿宋_GB2312" w:eastAsia="仿宋_GB2312" w:cs="仿宋_GB2312"/>
          <w:sz w:val="32"/>
          <w:szCs w:val="32"/>
          <w:lang w:val="en"/>
        </w:rPr>
        <w:t>。</w:t>
      </w:r>
      <w:r>
        <w:rPr>
          <w:rFonts w:hint="eastAsia" w:ascii="仿宋_GB2312" w:hAnsi="仿宋_GB2312" w:eastAsia="仿宋_GB2312" w:cs="仿宋_GB2312"/>
          <w:sz w:val="32"/>
          <w:szCs w:val="32"/>
        </w:rPr>
        <w:t>组织指导有关防洪论证工作</w:t>
      </w:r>
      <w:r>
        <w:rPr>
          <w:rFonts w:hint="default" w:ascii="仿宋_GB2312" w:hAnsi="仿宋_GB2312" w:eastAsia="仿宋_GB2312" w:cs="仿宋_GB2312"/>
          <w:sz w:val="32"/>
          <w:szCs w:val="32"/>
          <w:lang w:val="en"/>
        </w:rPr>
        <w:t>。</w:t>
      </w:r>
      <w:r>
        <w:rPr>
          <w:rFonts w:hint="eastAsia" w:ascii="仿宋_GB2312" w:hAnsi="仿宋_GB2312" w:eastAsia="仿宋_GB2312" w:cs="仿宋_GB2312"/>
          <w:sz w:val="32"/>
          <w:szCs w:val="32"/>
        </w:rPr>
        <w:t>指导水工程建设项目合规性审查工作</w:t>
      </w:r>
      <w:r>
        <w:rPr>
          <w:rFonts w:hint="default" w:ascii="仿宋_GB2312" w:hAnsi="仿宋_GB2312" w:eastAsia="仿宋_GB2312" w:cs="仿宋_GB2312"/>
          <w:sz w:val="32"/>
          <w:szCs w:val="32"/>
          <w:lang w:val="en"/>
        </w:rPr>
        <w:t>。</w:t>
      </w:r>
      <w:r>
        <w:rPr>
          <w:rFonts w:hint="eastAsia" w:ascii="仿宋_GB2312" w:hAnsi="仿宋_GB2312" w:eastAsia="仿宋_GB2312" w:cs="仿宋_GB2312"/>
          <w:sz w:val="32"/>
          <w:szCs w:val="32"/>
        </w:rPr>
        <w:t>组织实施全市水利建设投资计划，承担水利统计工作</w:t>
      </w:r>
      <w:r>
        <w:rPr>
          <w:rFonts w:hint="default" w:ascii="仿宋_GB2312" w:hAnsi="仿宋_GB2312" w:eastAsia="仿宋_GB2312" w:cs="仿宋_GB2312"/>
          <w:sz w:val="32"/>
          <w:szCs w:val="32"/>
          <w:lang w:val="en"/>
        </w:rPr>
        <w:t>。</w:t>
      </w:r>
      <w:r>
        <w:rPr>
          <w:rFonts w:hint="eastAsia" w:ascii="仿宋_GB2312" w:hAnsi="仿宋_GB2312" w:eastAsia="仿宋_GB2312" w:cs="仿宋_GB2312"/>
          <w:sz w:val="32"/>
          <w:szCs w:val="32"/>
        </w:rPr>
        <w:t>负责水利改革统筹协调工作</w:t>
      </w:r>
      <w:r>
        <w:rPr>
          <w:rFonts w:hint="default" w:ascii="仿宋_GB2312" w:hAnsi="仿宋_GB2312" w:eastAsia="仿宋_GB2312" w:cs="仿宋_GB2312"/>
          <w:sz w:val="32"/>
          <w:szCs w:val="32"/>
          <w:lang w:val="en"/>
        </w:rPr>
        <w:t>。</w:t>
      </w:r>
      <w:r>
        <w:rPr>
          <w:rFonts w:hint="eastAsia" w:ascii="仿宋_GB2312" w:hAnsi="仿宋_GB2312" w:eastAsia="仿宋_GB2312" w:cs="仿宋_GB2312"/>
          <w:sz w:val="32"/>
          <w:szCs w:val="32"/>
        </w:rPr>
        <w:t>组织提出中央、自治区和市水利财政资金安排建议，承担中央、自治区和市水利发展资金及水利国有资产监督管理工作，并统筹协调项目实施的监督管理和绩效评价</w:t>
      </w:r>
      <w:r>
        <w:rPr>
          <w:rFonts w:hint="default" w:ascii="仿宋_GB2312" w:hAnsi="仿宋_GB2312" w:eastAsia="仿宋_GB2312" w:cs="仿宋_GB2312"/>
          <w:sz w:val="32"/>
          <w:szCs w:val="32"/>
          <w:lang w:val="en"/>
        </w:rPr>
        <w:t>。</w:t>
      </w:r>
      <w:r>
        <w:rPr>
          <w:rFonts w:hint="eastAsia" w:ascii="仿宋_GB2312" w:hAnsi="仿宋_GB2312" w:eastAsia="仿宋_GB2312" w:cs="仿宋_GB2312"/>
          <w:sz w:val="32"/>
          <w:szCs w:val="32"/>
        </w:rPr>
        <w:t xml:space="preserve">协调有关水利价格、税费、基金、信贷等事宜。 </w:t>
      </w:r>
    </w:p>
    <w:p w14:paraId="5A0D7AB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lang w:eastAsia="zh-CN"/>
        </w:rPr>
        <w:t>（三）水资源管理与水生态建设科。</w:t>
      </w:r>
      <w:r>
        <w:rPr>
          <w:rFonts w:hint="eastAsia" w:ascii="仿宋_GB2312" w:hAnsi="仿宋_GB2312" w:eastAsia="仿宋_GB2312" w:cs="仿宋_GB2312"/>
          <w:sz w:val="32"/>
          <w:szCs w:val="32"/>
          <w:highlight w:val="none"/>
        </w:rPr>
        <w:t>组织实施</w:t>
      </w:r>
      <w:r>
        <w:rPr>
          <w:rFonts w:hint="eastAsia" w:ascii="仿宋_GB2312" w:hAnsi="仿宋_GB2312" w:eastAsia="仿宋_GB2312" w:cs="仿宋_GB2312"/>
          <w:sz w:val="32"/>
          <w:szCs w:val="32"/>
          <w:highlight w:val="none"/>
          <w:lang w:eastAsia="zh-CN"/>
        </w:rPr>
        <w:t>全市</w:t>
      </w:r>
      <w:r>
        <w:rPr>
          <w:rFonts w:hint="eastAsia" w:ascii="仿宋_GB2312" w:hAnsi="仿宋_GB2312" w:eastAsia="仿宋_GB2312" w:cs="仿宋_GB2312"/>
          <w:sz w:val="32"/>
          <w:szCs w:val="32"/>
          <w:highlight w:val="none"/>
        </w:rPr>
        <w:t>最严格水资源管理制度并组织考核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组织实施水资源取水许可、水资源论证等制度，指导水量分配工作并监督实施，组织编制水资源保护规划，指导饮用水水源保护有关工作</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组织开展水资源调查、评价有关工作，组织编制并发布市水资源公报</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参与编制水功能区划</w:t>
      </w:r>
      <w:r>
        <w:rPr>
          <w:rFonts w:hint="eastAsia" w:ascii="仿宋_GB2312" w:hAnsi="仿宋_GB2312" w:eastAsia="仿宋_GB2312" w:cs="仿宋_GB2312"/>
          <w:sz w:val="32"/>
          <w:szCs w:val="32"/>
          <w:highlight w:val="none"/>
          <w:lang w:eastAsia="zh-CN"/>
        </w:rPr>
        <w:t>工作。</w:t>
      </w:r>
      <w:r>
        <w:rPr>
          <w:rFonts w:hint="eastAsia" w:ascii="仿宋_GB2312" w:hAnsi="仿宋_GB2312" w:eastAsia="仿宋_GB2312" w:cs="仿宋_GB2312"/>
          <w:sz w:val="32"/>
          <w:szCs w:val="32"/>
          <w:highlight w:val="none"/>
        </w:rPr>
        <w:t>组织指导计划用水、节约用水工作</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组织实施用水总量控制、用水效率控制、计划用水和定额管理制度</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指导和推动节水型社会建设工作</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color w:val="auto"/>
          <w:sz w:val="32"/>
          <w:szCs w:val="32"/>
          <w:highlight w:val="none"/>
          <w:lang w:val="en" w:eastAsia="zh-CN"/>
        </w:rPr>
        <w:t>指导地下水资源的开发利用和管理保护。</w:t>
      </w:r>
      <w:r>
        <w:rPr>
          <w:rFonts w:hint="eastAsia" w:ascii="仿宋_GB2312" w:hAnsi="仿宋_GB2312" w:eastAsia="仿宋_GB2312" w:cs="仿宋_GB2312"/>
          <w:color w:val="auto"/>
          <w:sz w:val="32"/>
          <w:szCs w:val="32"/>
          <w:highlight w:val="none"/>
        </w:rPr>
        <w:t>指导城市污水处理回用等非常规水源开发利用工作</w:t>
      </w:r>
      <w:r>
        <w:rPr>
          <w:rFonts w:hint="default"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rPr>
        <w:t>指导水域及其</w:t>
      </w:r>
      <w:r>
        <w:rPr>
          <w:rFonts w:hint="eastAsia" w:ascii="仿宋_GB2312" w:hAnsi="仿宋_GB2312" w:eastAsia="仿宋_GB2312" w:cs="仿宋_GB2312"/>
          <w:sz w:val="32"/>
          <w:szCs w:val="32"/>
          <w:highlight w:val="none"/>
        </w:rPr>
        <w:t>岸线的管理和保护</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指导重要江河湖泊、河口的开发、治理和保护</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指导河湖水生态保护与修复以及河湖水系连通工作</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监督管理河道采砂工作，指导河道采砂规划和计划的编制，组织实施河道管理范围内工程建设方案审查制度</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负责全面推行河长制湖长制工作，组织对河长制湖长制实施情况进行督查及考核。</w:t>
      </w:r>
    </w:p>
    <w:p w14:paraId="57BB3814">
      <w:pPr>
        <w:ind w:firstLine="640" w:firstLineChars="200"/>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lang w:eastAsia="zh-CN"/>
        </w:rPr>
        <w:t>（四）建设运行管理科</w:t>
      </w:r>
      <w:r>
        <w:rPr>
          <w:rFonts w:hint="eastAsia"/>
          <w:sz w:val="32"/>
          <w:szCs w:val="32"/>
          <w:highlight w:val="none"/>
          <w:lang w:eastAsia="zh-CN"/>
        </w:rPr>
        <w:t>。</w:t>
      </w:r>
      <w:r>
        <w:rPr>
          <w:rFonts w:hint="eastAsia" w:ascii="仿宋_GB2312" w:hAnsi="仿宋_GB2312" w:eastAsia="仿宋_GB2312" w:cs="仿宋_GB2312"/>
          <w:sz w:val="32"/>
          <w:szCs w:val="32"/>
          <w:highlight w:val="none"/>
        </w:rPr>
        <w:t>指导全市水利工程建设管理，</w:t>
      </w:r>
      <w:r>
        <w:rPr>
          <w:rFonts w:hint="eastAsia" w:ascii="仿宋_GB2312" w:hAnsi="仿宋_GB2312" w:eastAsia="仿宋_GB2312" w:cs="仿宋_GB2312"/>
          <w:color w:val="auto"/>
          <w:sz w:val="32"/>
          <w:szCs w:val="32"/>
          <w:highlight w:val="none"/>
          <w:lang w:eastAsia="zh-CN"/>
        </w:rPr>
        <w:t>拟</w:t>
      </w:r>
      <w:r>
        <w:rPr>
          <w:rFonts w:hint="eastAsia" w:ascii="仿宋_GB2312" w:hAnsi="仿宋_GB2312" w:eastAsia="仿宋_GB2312" w:cs="仿宋_GB2312"/>
          <w:color w:val="auto"/>
          <w:sz w:val="32"/>
          <w:szCs w:val="32"/>
          <w:highlight w:val="none"/>
        </w:rPr>
        <w:t>定有关制度并组织实施</w:t>
      </w:r>
      <w:r>
        <w:rPr>
          <w:rFonts w:hint="default"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lang w:eastAsia="zh-CN"/>
        </w:rPr>
        <w:t>组织</w:t>
      </w:r>
      <w:r>
        <w:rPr>
          <w:rFonts w:hint="eastAsia" w:ascii="仿宋_GB2312" w:hAnsi="仿宋_GB2312" w:eastAsia="仿宋_GB2312" w:cs="仿宋_GB2312"/>
          <w:color w:val="auto"/>
          <w:sz w:val="32"/>
          <w:szCs w:val="32"/>
          <w:highlight w:val="none"/>
        </w:rPr>
        <w:t>指导水利工程蓄水安全鉴定和</w:t>
      </w:r>
      <w:r>
        <w:rPr>
          <w:rFonts w:hint="eastAsia" w:ascii="仿宋_GB2312" w:hAnsi="仿宋_GB2312" w:eastAsia="仿宋_GB2312" w:cs="仿宋_GB2312"/>
          <w:sz w:val="32"/>
          <w:szCs w:val="32"/>
          <w:highlight w:val="none"/>
        </w:rPr>
        <w:t>验收，指导大江大河干堤、病险水库、水电站大坝、水闸的除险加固</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lang w:val="en" w:eastAsia="zh-CN"/>
        </w:rPr>
        <w:t>组织</w:t>
      </w:r>
      <w:r>
        <w:rPr>
          <w:rFonts w:hint="eastAsia" w:ascii="仿宋_GB2312" w:hAnsi="仿宋_GB2312" w:eastAsia="仿宋_GB2312" w:cs="仿宋_GB2312"/>
          <w:sz w:val="32"/>
          <w:szCs w:val="32"/>
          <w:highlight w:val="none"/>
        </w:rPr>
        <w:t>指导水利建设市场的监督管理和水利建设市场信用体系建设</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指导水利水电设施的管理、保护和综合利用</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组织编制水库运行调度规程，指导水库、水电站大坝、堤防、水闸等水利工程的运行管理与划界</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组织实施水利工程质量和安全监督</w:t>
      </w:r>
      <w:r>
        <w:rPr>
          <w:rFonts w:hint="eastAsia" w:ascii="仿宋_GB2312" w:hAnsi="仿宋_GB2312" w:eastAsia="仿宋_GB2312" w:cs="仿宋_GB2312"/>
          <w:sz w:val="32"/>
          <w:szCs w:val="32"/>
          <w:highlight w:val="none"/>
          <w:lang w:eastAsia="zh-CN"/>
        </w:rPr>
        <w:t>，组织开展水利建设质量考核。指导水利行业安全生产工作, 组织实施</w:t>
      </w:r>
      <w:r>
        <w:rPr>
          <w:rFonts w:hint="eastAsia" w:ascii="仿宋_GB2312" w:hAnsi="仿宋_GB2312" w:eastAsia="仿宋_GB2312" w:cs="仿宋_GB2312"/>
          <w:sz w:val="32"/>
          <w:szCs w:val="32"/>
          <w:highlight w:val="none"/>
        </w:rPr>
        <w:t>水库、水电站大坝及农村水电站</w:t>
      </w:r>
      <w:r>
        <w:rPr>
          <w:rFonts w:hint="eastAsia" w:ascii="仿宋_GB2312" w:hAnsi="仿宋_GB2312" w:eastAsia="仿宋_GB2312" w:cs="仿宋_GB2312"/>
          <w:sz w:val="32"/>
          <w:szCs w:val="32"/>
          <w:highlight w:val="none"/>
          <w:lang w:eastAsia="zh-CN"/>
        </w:rPr>
        <w:t>等水利工程</w:t>
      </w:r>
      <w:r>
        <w:rPr>
          <w:rFonts w:hint="eastAsia" w:ascii="仿宋_GB2312" w:hAnsi="仿宋_GB2312" w:eastAsia="仿宋_GB2312" w:cs="仿宋_GB2312"/>
          <w:sz w:val="32"/>
          <w:szCs w:val="32"/>
          <w:highlight w:val="none"/>
        </w:rPr>
        <w:t>安全监管。</w:t>
      </w:r>
      <w:r>
        <w:rPr>
          <w:rFonts w:hint="eastAsia" w:ascii="仿宋_GB2312" w:hAnsi="仿宋_GB2312" w:eastAsia="仿宋_GB2312" w:cs="仿宋_GB2312"/>
          <w:sz w:val="32"/>
          <w:szCs w:val="32"/>
          <w:highlight w:val="none"/>
          <w:lang w:eastAsia="zh-CN"/>
        </w:rPr>
        <w:t>组织全市水利质量、安全事故的调查处理。</w:t>
      </w:r>
      <w:r>
        <w:rPr>
          <w:rFonts w:hint="eastAsia" w:ascii="仿宋_GB2312" w:hAnsi="仿宋_GB2312" w:eastAsia="仿宋_GB2312" w:cs="仿宋_GB2312"/>
          <w:sz w:val="32"/>
          <w:szCs w:val="32"/>
          <w:highlight w:val="none"/>
        </w:rPr>
        <w:t xml:space="preserve"> </w:t>
      </w:r>
    </w:p>
    <w:p w14:paraId="6991234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lang w:eastAsia="zh-CN"/>
        </w:rPr>
        <w:t>（五）农村水利水电与水土保持科。</w:t>
      </w:r>
      <w:r>
        <w:rPr>
          <w:rFonts w:hint="eastAsia" w:ascii="仿宋_GB2312" w:hAnsi="仿宋_GB2312" w:eastAsia="仿宋_GB2312" w:cs="仿宋_GB2312"/>
          <w:sz w:val="32"/>
          <w:szCs w:val="32"/>
          <w:highlight w:val="none"/>
        </w:rPr>
        <w:t>组织开展大中型灌排工程建设与改造，指导农村饮水安全工程建设管理工作，指导节水灌溉有关工作</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组织拟订农村水能资源开发规划，指导水电农村电气化、农村水电增效扩容改造以及小水电代燃料等农村水能资源开发工作</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指导</w:t>
      </w:r>
      <w:r>
        <w:rPr>
          <w:rFonts w:hint="eastAsia" w:ascii="仿宋_GB2312" w:hAnsi="仿宋_GB2312" w:eastAsia="仿宋_GB2312" w:cs="仿宋_GB2312"/>
          <w:sz w:val="32"/>
          <w:szCs w:val="32"/>
          <w:highlight w:val="none"/>
          <w:lang w:eastAsia="zh-CN"/>
        </w:rPr>
        <w:t>农业水价综合改革工作</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承担协调牧区水利工作</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指导全市水土保持工作，负责水土流失综合防治工作，组织编制全市水土保持规划并监督实施，</w:t>
      </w:r>
      <w:r>
        <w:rPr>
          <w:rFonts w:hint="eastAsia" w:ascii="仿宋_GB2312" w:hAnsi="仿宋_GB2312" w:eastAsia="仿宋_GB2312" w:cs="仿宋_GB2312"/>
          <w:sz w:val="32"/>
          <w:szCs w:val="32"/>
          <w:highlight w:val="none"/>
          <w:lang w:eastAsia="zh-CN"/>
        </w:rPr>
        <w:t>指导全</w:t>
      </w:r>
      <w:r>
        <w:rPr>
          <w:rFonts w:hint="eastAsia" w:ascii="仿宋_GB2312" w:hAnsi="仿宋_GB2312" w:eastAsia="仿宋_GB2312" w:cs="仿宋_GB2312"/>
          <w:color w:val="auto"/>
          <w:sz w:val="32"/>
          <w:szCs w:val="32"/>
          <w:highlight w:val="none"/>
          <w:lang w:eastAsia="zh-CN"/>
        </w:rPr>
        <w:t>市生态</w:t>
      </w:r>
      <w:r>
        <w:rPr>
          <w:rFonts w:hint="eastAsia" w:ascii="仿宋_GB2312" w:hAnsi="仿宋_GB2312" w:eastAsia="仿宋_GB2312" w:cs="仿宋_GB2312"/>
          <w:sz w:val="32"/>
          <w:szCs w:val="32"/>
          <w:highlight w:val="none"/>
          <w:lang w:eastAsia="zh-CN"/>
        </w:rPr>
        <w:t>清洁小流域建设。</w:t>
      </w:r>
      <w:r>
        <w:rPr>
          <w:rFonts w:hint="eastAsia" w:ascii="仿宋_GB2312" w:hAnsi="仿宋_GB2312" w:eastAsia="仿宋_GB2312" w:cs="仿宋_GB2312"/>
          <w:sz w:val="32"/>
          <w:szCs w:val="32"/>
          <w:highlight w:val="none"/>
        </w:rPr>
        <w:t>组织水土流失监测、预报并公告</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负责全市建设项目水土保持监督管理和重大生产建设项目水土保持方案的审核报批工作</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lang w:eastAsia="zh-CN"/>
        </w:rPr>
        <w:t>组织开展</w:t>
      </w:r>
      <w:r>
        <w:rPr>
          <w:rFonts w:hint="eastAsia" w:ascii="仿宋_GB2312" w:hAnsi="仿宋_GB2312" w:eastAsia="仿宋_GB2312" w:cs="仿宋_GB2312"/>
          <w:color w:val="auto"/>
          <w:sz w:val="32"/>
          <w:szCs w:val="32"/>
          <w:highlight w:val="none"/>
          <w:lang w:eastAsia="zh-CN"/>
        </w:rPr>
        <w:t>全市</w:t>
      </w:r>
      <w:r>
        <w:rPr>
          <w:rFonts w:hint="eastAsia" w:ascii="仿宋_GB2312" w:hAnsi="仿宋_GB2312" w:eastAsia="仿宋_GB2312" w:cs="仿宋_GB2312"/>
          <w:sz w:val="32"/>
          <w:szCs w:val="32"/>
          <w:highlight w:val="none"/>
          <w:lang w:eastAsia="zh-CN"/>
        </w:rPr>
        <w:t>水土保持目标责任考核。</w:t>
      </w:r>
      <w:r>
        <w:rPr>
          <w:rFonts w:hint="eastAsia" w:ascii="仿宋_GB2312" w:hAnsi="仿宋_GB2312" w:eastAsia="仿宋_GB2312" w:cs="仿宋_GB2312"/>
          <w:sz w:val="32"/>
          <w:szCs w:val="32"/>
          <w:highlight w:val="none"/>
        </w:rPr>
        <w:t xml:space="preserve">统筹协调全市水利行业乡村振兴工作。 </w:t>
      </w:r>
    </w:p>
    <w:p w14:paraId="7B9BDC2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lang w:eastAsia="zh-CN"/>
        </w:rPr>
        <w:t>（六）水旱灾害防御科。</w:t>
      </w:r>
      <w:r>
        <w:rPr>
          <w:rFonts w:hint="eastAsia" w:ascii="仿宋_GB2312" w:hAnsi="仿宋_GB2312" w:eastAsia="仿宋_GB2312" w:cs="仿宋_GB2312"/>
          <w:sz w:val="32"/>
          <w:szCs w:val="32"/>
          <w:highlight w:val="none"/>
        </w:rPr>
        <w:t>组织编制全市洪水干旱灾害防治规划并指导实施，依法依规贯彻落实防护标准、重要江河湖泊和重要水工程的防御洪水抗御旱灾调度以及应急水量调度方案，按程序报批并组织实施</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承担全市水情旱情监测预警工作</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组织协调指导蓄滞洪区安全建设、管理和运用补偿工作，承担洪泛区、蓄滞洪区和防洪保护区的洪水影响评价工作</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lang w:eastAsia="zh-CN"/>
        </w:rPr>
        <w:t>负责</w:t>
      </w:r>
      <w:r>
        <w:rPr>
          <w:rFonts w:hint="eastAsia" w:ascii="仿宋_GB2312" w:hAnsi="仿宋_GB2312" w:eastAsia="仿宋_GB2312" w:cs="仿宋_GB2312"/>
          <w:sz w:val="32"/>
          <w:szCs w:val="32"/>
          <w:highlight w:val="none"/>
        </w:rPr>
        <w:t>防御洪水应急抢险的技术支撑工作</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组织开展全市水资源供需形势分析，指导水资源调度工作并监督实施</w:t>
      </w:r>
      <w:r>
        <w:rPr>
          <w:rFonts w:hint="default" w:ascii="仿宋_GB2312" w:hAnsi="仿宋_GB2312" w:eastAsia="仿宋_GB2312" w:cs="仿宋_GB2312"/>
          <w:sz w:val="32"/>
          <w:szCs w:val="32"/>
          <w:highlight w:val="none"/>
          <w:lang w:val="en"/>
        </w:rPr>
        <w:t>。</w:t>
      </w:r>
      <w:r>
        <w:rPr>
          <w:rFonts w:hint="eastAsia" w:ascii="仿宋_GB2312" w:hAnsi="仿宋_GB2312" w:eastAsia="仿宋_GB2312" w:cs="仿宋_GB2312"/>
          <w:sz w:val="32"/>
          <w:szCs w:val="32"/>
          <w:highlight w:val="none"/>
        </w:rPr>
        <w:t>监督实施水利行业的地方性技术标准、规程规范。</w:t>
      </w:r>
    </w:p>
    <w:p w14:paraId="45CD960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楷体_GB2312" w:hAnsi="楷体_GB2312" w:eastAsia="楷体_GB2312" w:cs="楷体_GB2312"/>
          <w:sz w:val="32"/>
          <w:szCs w:val="32"/>
          <w:highlight w:val="none"/>
          <w:lang w:eastAsia="zh-CN"/>
        </w:rPr>
        <w:t>（七）水政与移民安置科。</w:t>
      </w:r>
      <w:r>
        <w:rPr>
          <w:rFonts w:hint="eastAsia" w:ascii="仿宋_GB2312" w:hAnsi="仿宋_GB2312" w:eastAsia="仿宋_GB2312" w:cs="仿宋_GB2312"/>
          <w:sz w:val="32"/>
          <w:szCs w:val="32"/>
          <w:highlight w:val="none"/>
          <w:lang w:eastAsia="zh-CN"/>
        </w:rPr>
        <w:t>研究拟订贯彻落实中央、自治区水利政策的措施并监督实施。指导水利行政许可工作并监督检查。承办行政规范性文件立项、合法性审查、备案和清理工作。承办行政诉讼和行政赔偿工作等。指导水政监察和水行政执法, 协调跨县(区)水事纠纷, 组织查处全区涉水违法案件。承担全区水利行业行政审批制度改革工作。负责水利水电工程移民安置规划大纲、规划报告审查及审核。负责水利水电工程移民安置工作的管理监督和后期扶持工作。组织实施水利水电工程移民安置验收、监督评估工作。负责水利水电工程移民搬迁安置对象和新增移民人口的核定。负责安排全市大中型水利水电工程后期扶持资金。</w:t>
      </w:r>
    </w:p>
    <w:p w14:paraId="6659E3A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highlight w:val="none"/>
          <w:lang w:eastAsia="zh-CN"/>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市</w:t>
      </w:r>
      <w:r>
        <w:rPr>
          <w:rFonts w:hint="eastAsia" w:ascii="仿宋_GB2312" w:hAnsi="仿宋_GB2312" w:eastAsia="仿宋_GB2312" w:cs="仿宋_GB2312"/>
          <w:sz w:val="32"/>
          <w:szCs w:val="32"/>
          <w:lang w:eastAsia="zh-CN"/>
        </w:rPr>
        <w:t>水利局机关人员</w:t>
      </w:r>
      <w:r>
        <w:rPr>
          <w:rFonts w:hint="eastAsia" w:ascii="仿宋_GB2312" w:hAnsi="仿宋_GB2312" w:eastAsia="仿宋_GB2312" w:cs="仿宋_GB2312"/>
          <w:sz w:val="32"/>
          <w:szCs w:val="32"/>
        </w:rPr>
        <w:t>编制</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名。部门领导职数</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书记</w:t>
      </w:r>
      <w:r>
        <w:rPr>
          <w:rFonts w:hint="eastAsia" w:ascii="仿宋_GB2312" w:hAnsi="仿宋_GB2312" w:eastAsia="仿宋_GB2312" w:cs="仿宋_GB2312"/>
          <w:sz w:val="32"/>
          <w:szCs w:val="32"/>
          <w:lang w:val="en-US" w:eastAsia="zh-CN"/>
        </w:rPr>
        <w:t>1名，局长1名，副局长3名。内设机构</w:t>
      </w:r>
      <w:r>
        <w:rPr>
          <w:rFonts w:hint="eastAsia" w:ascii="仿宋_GB2312" w:hAnsi="仿宋_GB2312" w:eastAsia="仿宋_GB2312" w:cs="仿宋_GB2312"/>
          <w:sz w:val="32"/>
          <w:szCs w:val="32"/>
        </w:rPr>
        <w:t>科级领导职数</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 w:eastAsia="zh-CN"/>
        </w:rPr>
        <w:t>4</w:t>
      </w:r>
      <w:r>
        <w:rPr>
          <w:rFonts w:hint="eastAsia" w:ascii="仿宋_GB2312" w:hAnsi="仿宋_GB2312" w:eastAsia="仿宋_GB2312" w:cs="仿宋_GB2312"/>
          <w:sz w:val="32"/>
          <w:szCs w:val="32"/>
        </w:rPr>
        <w:t>名。</w:t>
      </w:r>
    </w:p>
    <w:p w14:paraId="2266B78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highlight w:val="none"/>
          <w:lang w:eastAsia="zh-CN"/>
        </w:rPr>
        <w:t>第十条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水利局</w:t>
      </w:r>
      <w:r>
        <w:rPr>
          <w:rFonts w:hint="eastAsia" w:ascii="仿宋_GB2312" w:hAnsi="仿宋_GB2312" w:eastAsia="仿宋_GB2312" w:cs="仿宋_GB2312"/>
          <w:sz w:val="32"/>
          <w:szCs w:val="32"/>
        </w:rPr>
        <w:t>所属事业单位的设置、职责和编制事项另行规定。</w:t>
      </w:r>
    </w:p>
    <w:p w14:paraId="253825B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 w:eastAsia="仿宋_GB2312"/>
          <w:sz w:val="32"/>
          <w:szCs w:val="32"/>
        </w:rPr>
      </w:pPr>
      <w:r>
        <w:rPr>
          <w:rFonts w:hint="eastAsia" w:ascii="黑体" w:hAnsi="黑体" w:eastAsia="黑体" w:cs="黑体"/>
          <w:sz w:val="32"/>
          <w:szCs w:val="32"/>
          <w:highlight w:val="none"/>
          <w:lang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本规定具体解释工作由市委机构编制委员会办公室承担，其调整由市委机构编制委员会办公室按规定程序办理。</w:t>
      </w:r>
    </w:p>
    <w:p w14:paraId="71B65D1B">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w:t>
      </w:r>
      <w:r>
        <w:rPr>
          <w:rFonts w:hint="eastAsia" w:ascii="宋体" w:hAnsi="宋体" w:eastAsia="宋体" w:cs="宋体"/>
          <w:b w:val="0"/>
          <w:bCs w:val="0"/>
          <w:color w:val="auto"/>
          <w:sz w:val="32"/>
          <w:szCs w:val="32"/>
          <w:highlight w:val="none"/>
          <w:lang w:val="en-US" w:eastAsia="zh-CN"/>
        </w:rPr>
        <w:t>、</w:t>
      </w:r>
      <w:r>
        <w:rPr>
          <w:rFonts w:hint="eastAsia" w:ascii="仿宋_GB2312" w:hAnsi="仿宋" w:eastAsia="仿宋_GB2312"/>
          <w:sz w:val="32"/>
          <w:szCs w:val="32"/>
        </w:rPr>
        <w:t>机构情况，包括当年变动情况及原因。</w:t>
      </w:r>
    </w:p>
    <w:p w14:paraId="7FE3E176">
      <w:pPr>
        <w:numPr>
          <w:ilvl w:val="0"/>
          <w:numId w:val="0"/>
        </w:num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行政：</w:t>
      </w:r>
      <w:r>
        <w:rPr>
          <w:rFonts w:hint="eastAsia" w:ascii="仿宋_GB2312" w:hAnsi="仿宋_GB2312" w:eastAsia="仿宋_GB2312" w:cs="仿宋_GB2312"/>
          <w:sz w:val="32"/>
          <w:szCs w:val="32"/>
          <w:lang w:val="en-US" w:eastAsia="zh-CN"/>
        </w:rPr>
        <w:t>办公室、规划计划科、水旱灾害防御科、建设运行管理科、农村水利水电与水土保持科、水资源管理与水生态建设科、水政与移民安置科</w:t>
      </w:r>
    </w:p>
    <w:p w14:paraId="14B29314">
      <w:pPr>
        <w:numPr>
          <w:ilvl w:val="0"/>
          <w:numId w:val="0"/>
        </w:numPr>
        <w:ind w:firstLine="643"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参公：</w:t>
      </w:r>
      <w:r>
        <w:rPr>
          <w:rFonts w:hint="eastAsia" w:ascii="仿宋_GB2312" w:hAnsi="仿宋_GB2312" w:eastAsia="仿宋_GB2312" w:cs="仿宋_GB2312"/>
          <w:b w:val="0"/>
          <w:bCs w:val="0"/>
          <w:sz w:val="32"/>
          <w:szCs w:val="32"/>
          <w:lang w:val="en-US" w:eastAsia="zh-CN"/>
        </w:rPr>
        <w:t>市水土保持站、市水利工程建设质量与安全监督站</w:t>
      </w:r>
    </w:p>
    <w:p w14:paraId="468F1816">
      <w:pPr>
        <w:numPr>
          <w:ilvl w:val="0"/>
          <w:numId w:val="0"/>
        </w:numPr>
        <w:ind w:firstLine="643" w:firstLineChars="200"/>
        <w:rPr>
          <w:rFonts w:hint="eastAsia" w:ascii="宋体" w:hAnsi="宋体" w:eastAsia="宋体" w:cs="宋体"/>
          <w:color w:val="auto"/>
          <w:sz w:val="32"/>
          <w:szCs w:val="32"/>
        </w:rPr>
      </w:pPr>
      <w:r>
        <w:rPr>
          <w:rFonts w:hint="eastAsia" w:ascii="仿宋_GB2312" w:hAnsi="仿宋_GB2312" w:eastAsia="仿宋_GB2312" w:cs="仿宋_GB2312"/>
          <w:b/>
          <w:bCs/>
          <w:sz w:val="32"/>
          <w:szCs w:val="32"/>
          <w:lang w:val="en-US" w:eastAsia="zh-CN"/>
        </w:rPr>
        <w:t>事业：</w:t>
      </w:r>
      <w:r>
        <w:rPr>
          <w:rFonts w:hint="eastAsia" w:ascii="仿宋_GB2312" w:hAnsi="仿宋_GB2312" w:eastAsia="仿宋_GB2312" w:cs="仿宋_GB2312"/>
          <w:b w:val="0"/>
          <w:bCs w:val="0"/>
          <w:sz w:val="32"/>
          <w:szCs w:val="32"/>
          <w:lang w:val="en-US" w:eastAsia="zh-CN"/>
        </w:rPr>
        <w:t>市水利项目建设管理中心、市水利技术服务站、市水利工程移民服务中心、市水利综合监测中心。</w:t>
      </w:r>
    </w:p>
    <w:p w14:paraId="461162CC">
      <w:pPr>
        <w:pStyle w:val="6"/>
        <w:numPr>
          <w:ilvl w:val="0"/>
          <w:numId w:val="3"/>
        </w:numPr>
        <w:shd w:val="clear" w:color="auto" w:fill="FFFFFF"/>
        <w:spacing w:beforeAutospacing="0" w:afterAutospacing="0" w:line="560" w:lineRule="exact"/>
        <w:ind w:left="0" w:leftChars="0"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人员情况</w:t>
      </w:r>
    </w:p>
    <w:p w14:paraId="122EEB4B">
      <w:pPr>
        <w:pStyle w:val="6"/>
        <w:shd w:val="clear" w:color="auto" w:fill="FFFFFF"/>
        <w:spacing w:beforeAutospacing="0" w:afterAutospacing="0" w:line="560" w:lineRule="exact"/>
        <w:ind w:left="0" w:leftChars="0"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（1）基本人员:行政编制23人，事业编制25人，参公18人，机关后勤2人。实际在编66人，其中：行政在编22人，事业在编23人，参照公务员法管理事业人员15人,机关和事业工人：6人。</w:t>
      </w:r>
    </w:p>
    <w:p w14:paraId="66CCEB04">
      <w:pPr>
        <w:numPr>
          <w:ilvl w:val="0"/>
          <w:numId w:val="0"/>
        </w:numPr>
        <w:spacing w:line="578" w:lineRule="exact"/>
        <w:rPr>
          <w:rFonts w:hint="eastAsia" w:ascii="黑体" w:hAnsi="黑体" w:eastAsia="黑体" w:cs="黑体"/>
          <w:b/>
          <w:bCs/>
          <w:sz w:val="32"/>
          <w:szCs w:val="32"/>
        </w:rPr>
      </w:pPr>
      <w:r>
        <w:rPr>
          <w:rFonts w:hint="eastAsia" w:ascii="仿宋_GB2312" w:hAnsi="仿宋_GB2312" w:eastAsia="仿宋_GB2312" w:cs="仿宋_GB2312"/>
          <w:b w:val="0"/>
          <w:bCs w:val="0"/>
          <w:kern w:val="2"/>
          <w:sz w:val="32"/>
          <w:szCs w:val="32"/>
          <w:lang w:val="en-US" w:eastAsia="zh-CN" w:bidi="ar-SA"/>
        </w:rPr>
        <w:t xml:space="preserve">   （2）其他人员：退休人员24人，其中：行政编制7人，事业编制4人，机关后勤13人。生活补助人员86人，其中：遗属补助1人，公益性岗位18人,援藏干部2人。</w:t>
      </w:r>
    </w:p>
    <w:p w14:paraId="1176AEDC">
      <w:pPr>
        <w:spacing w:line="578" w:lineRule="exact"/>
        <w:ind w:firstLine="640" w:firstLineChars="200"/>
        <w:rPr>
          <w:rFonts w:hint="eastAsia" w:ascii="黑体" w:hAnsi="黑体" w:eastAsia="黑体" w:cs="黑体"/>
          <w:sz w:val="32"/>
          <w:szCs w:val="32"/>
        </w:rPr>
      </w:pPr>
      <w:bookmarkStart w:id="13" w:name="_Toc4833_WPSOffice_Level2"/>
      <w:bookmarkStart w:id="14" w:name="_Toc17796_WPSOffice_Level2"/>
      <w:bookmarkStart w:id="15" w:name="_Toc24474_WPSOffice_Level2"/>
      <w:bookmarkStart w:id="16" w:name="_Toc6572_WPSOffice_Level2"/>
      <w:bookmarkStart w:id="17" w:name="_Toc24059_WPSOffice_Level2"/>
      <w:r>
        <w:rPr>
          <w:rFonts w:hint="eastAsia" w:ascii="黑体" w:hAnsi="黑体" w:eastAsia="黑体" w:cs="黑体"/>
          <w:sz w:val="32"/>
          <w:szCs w:val="32"/>
        </w:rPr>
        <w:t>二、机构设置</w:t>
      </w:r>
      <w:bookmarkEnd w:id="13"/>
      <w:bookmarkEnd w:id="14"/>
      <w:bookmarkEnd w:id="15"/>
      <w:bookmarkEnd w:id="16"/>
      <w:bookmarkEnd w:id="17"/>
    </w:p>
    <w:p w14:paraId="39C4BC79">
      <w:pPr>
        <w:spacing w:line="578" w:lineRule="exact"/>
        <w:ind w:firstLine="640" w:firstLineChars="200"/>
        <w:rPr>
          <w:rFonts w:hint="eastAsia" w:ascii="仿宋_GB2312" w:hAnsi="ˎ̥" w:eastAsia="仿宋_GB2312"/>
          <w:sz w:val="32"/>
          <w:szCs w:val="32"/>
        </w:rPr>
      </w:pPr>
      <w:r>
        <w:rPr>
          <w:rFonts w:hint="eastAsia" w:ascii="仿宋_GB2312" w:hAnsi="ˎ̥" w:eastAsia="仿宋_GB2312"/>
          <w:color w:val="auto"/>
          <w:sz w:val="32"/>
          <w:szCs w:val="32"/>
        </w:rPr>
        <w:t>纳入</w:t>
      </w:r>
      <w:r>
        <w:rPr>
          <w:rFonts w:hint="eastAsia" w:ascii="仿宋_GB2312" w:hAnsi="ˎ̥" w:eastAsia="仿宋_GB2312"/>
          <w:color w:val="auto"/>
          <w:sz w:val="32"/>
          <w:szCs w:val="32"/>
          <w:lang w:eastAsia="zh-CN"/>
        </w:rPr>
        <w:t>西藏昌都市水利局</w:t>
      </w:r>
      <w:r>
        <w:rPr>
          <w:rFonts w:hint="eastAsia" w:ascii="仿宋_GB2312" w:hAnsi="ˎ̥" w:eastAsia="仿宋_GB2312"/>
          <w:color w:val="auto"/>
          <w:sz w:val="32"/>
          <w:szCs w:val="32"/>
        </w:rPr>
        <w:t>202</w:t>
      </w:r>
      <w:r>
        <w:rPr>
          <w:rFonts w:hint="eastAsia" w:ascii="仿宋_GB2312" w:hAnsi="ˎ̥" w:eastAsia="仿宋_GB2312"/>
          <w:color w:val="auto"/>
          <w:sz w:val="32"/>
          <w:szCs w:val="32"/>
          <w:lang w:val="en-US" w:eastAsia="zh-CN"/>
        </w:rPr>
        <w:t>4</w:t>
      </w:r>
      <w:r>
        <w:rPr>
          <w:rFonts w:hint="eastAsia" w:ascii="仿宋_GB2312" w:hAnsi="ˎ̥" w:eastAsia="仿宋_GB2312"/>
          <w:color w:val="auto"/>
          <w:sz w:val="32"/>
          <w:szCs w:val="32"/>
        </w:rPr>
        <w:t>年度部门决算编制范围的单位共</w:t>
      </w:r>
      <w:r>
        <w:rPr>
          <w:rFonts w:hint="eastAsia" w:ascii="仿宋_GB2312" w:hAnsi="ˎ̥" w:eastAsia="仿宋_GB2312"/>
          <w:color w:val="auto"/>
          <w:sz w:val="32"/>
          <w:szCs w:val="32"/>
          <w:lang w:val="en-US" w:eastAsia="zh-CN"/>
        </w:rPr>
        <w:t>1</w:t>
      </w:r>
      <w:r>
        <w:rPr>
          <w:rFonts w:hint="eastAsia" w:ascii="仿宋_GB2312" w:hAnsi="ˎ̥" w:eastAsia="仿宋_GB2312"/>
          <w:color w:val="auto"/>
          <w:sz w:val="32"/>
          <w:szCs w:val="32"/>
        </w:rPr>
        <w:t>个，</w:t>
      </w:r>
      <w:r>
        <w:rPr>
          <w:rFonts w:hint="eastAsia" w:ascii="仿宋_GB2312" w:hAnsi="ˎ̥" w:eastAsia="仿宋_GB2312"/>
          <w:sz w:val="32"/>
          <w:szCs w:val="32"/>
        </w:rPr>
        <w:t>包括：</w:t>
      </w:r>
    </w:p>
    <w:p w14:paraId="6A4F44F4">
      <w:pPr>
        <w:spacing w:line="578" w:lineRule="exact"/>
        <w:ind w:firstLine="640" w:firstLineChars="200"/>
        <w:rPr>
          <w:rFonts w:hint="eastAsia" w:ascii="方正楷体_GBK" w:hAnsi="方正楷体_GBK" w:eastAsia="方正楷体_GBK" w:cs="方正楷体_GBK"/>
          <w:color w:val="auto"/>
          <w:sz w:val="32"/>
          <w:szCs w:val="32"/>
        </w:rPr>
      </w:pPr>
      <w:bookmarkStart w:id="18" w:name="_Toc25738_WPSOffice_Level2"/>
      <w:bookmarkStart w:id="19" w:name="_Toc24421_WPSOffice_Level2"/>
      <w:r>
        <w:rPr>
          <w:rFonts w:hint="eastAsia" w:ascii="方正楷体_GBK" w:hAnsi="方正楷体_GBK" w:eastAsia="方正楷体_GBK" w:cs="方正楷体_GBK"/>
          <w:color w:val="auto"/>
          <w:sz w:val="32"/>
          <w:szCs w:val="32"/>
        </w:rPr>
        <w:t>（一）</w:t>
      </w:r>
      <w:r>
        <w:rPr>
          <w:rFonts w:hint="eastAsia" w:ascii="仿宋_GB2312" w:hAnsi="ˎ̥" w:eastAsia="仿宋_GB2312"/>
          <w:color w:val="auto"/>
          <w:sz w:val="32"/>
          <w:szCs w:val="32"/>
          <w:lang w:val="en-US" w:eastAsia="zh-CN"/>
        </w:rPr>
        <w:t>西藏昌都市水利局部门本级</w:t>
      </w:r>
      <w:bookmarkEnd w:id="18"/>
      <w:bookmarkEnd w:id="19"/>
    </w:p>
    <w:p w14:paraId="248F589E">
      <w:pPr>
        <w:spacing w:line="578" w:lineRule="exact"/>
        <w:ind w:firstLine="640" w:firstLineChars="200"/>
        <w:rPr>
          <w:rFonts w:hint="eastAsia" w:ascii="黑体" w:hAnsi="ˎ̥" w:eastAsia="黑体"/>
          <w:sz w:val="32"/>
          <w:szCs w:val="32"/>
        </w:rPr>
      </w:pPr>
      <w:bookmarkStart w:id="20" w:name="_Toc19721_WPSOffice_Level2"/>
      <w:bookmarkStart w:id="21" w:name="_Toc4442_WPSOffice_Level2"/>
      <w:r>
        <w:rPr>
          <w:rFonts w:hint="eastAsia" w:ascii="方正楷体_GBK" w:hAnsi="方正楷体_GBK" w:eastAsia="方正楷体_GBK" w:cs="方正楷体_GBK"/>
          <w:color w:val="auto"/>
          <w:sz w:val="32"/>
          <w:szCs w:val="32"/>
        </w:rPr>
        <w:t>（二）</w:t>
      </w:r>
      <w:r>
        <w:rPr>
          <w:rFonts w:hint="eastAsia" w:ascii="仿宋_GB2312" w:hAnsi="ˎ̥" w:eastAsia="仿宋_GB2312"/>
          <w:color w:val="auto"/>
          <w:sz w:val="32"/>
          <w:szCs w:val="32"/>
          <w:lang w:val="en-US" w:eastAsia="zh-CN"/>
        </w:rPr>
        <w:t>无下属单位</w:t>
      </w:r>
      <w:bookmarkEnd w:id="20"/>
      <w:bookmarkEnd w:id="21"/>
      <w:bookmarkStart w:id="22" w:name="_Toc8164_WPSOffice_Level1"/>
      <w:bookmarkStart w:id="23" w:name="_Toc15521_WPSOffice_Level1"/>
      <w:bookmarkStart w:id="24" w:name="_Toc30690_WPSOffice_Level1"/>
      <w:bookmarkStart w:id="25" w:name="_Toc30451_WPSOffice_Level1"/>
      <w:bookmarkStart w:id="26" w:name="_Toc28253_WPSOffice_Level1"/>
      <w:bookmarkStart w:id="27" w:name="_Toc6234_WPSOffice_Level1"/>
      <w:bookmarkStart w:id="28" w:name="_Toc6211_WPSOffice_Level2"/>
      <w:bookmarkStart w:id="29" w:name="_Toc11518_WPSOffice_Level2"/>
      <w:bookmarkStart w:id="30" w:name="_Toc32472_WPSOffice_Level2"/>
      <w:bookmarkStart w:id="31" w:name="_Toc8867_WPSOffice_Level2"/>
      <w:bookmarkStart w:id="32" w:name="_Toc4029_WPSOffice_Level2"/>
      <w:bookmarkStart w:id="33" w:name="_Toc32695_WPSOffice_Level2"/>
    </w:p>
    <w:p w14:paraId="2712F1F3">
      <w:pPr>
        <w:spacing w:line="578" w:lineRule="exact"/>
        <w:jc w:val="center"/>
        <w:rPr>
          <w:rFonts w:hint="eastAsia" w:ascii="黑体" w:hAnsi="ˎ̥" w:eastAsia="黑体"/>
          <w:sz w:val="32"/>
          <w:szCs w:val="32"/>
        </w:rPr>
      </w:pPr>
      <w:r>
        <w:rPr>
          <w:rFonts w:hint="eastAsia" w:ascii="黑体" w:hAnsi="ˎ̥" w:eastAsia="黑体"/>
          <w:sz w:val="32"/>
          <w:szCs w:val="32"/>
        </w:rPr>
        <w:t xml:space="preserve">第二部分  </w:t>
      </w:r>
      <w:r>
        <w:rPr>
          <w:rFonts w:hint="default" w:ascii="黑体" w:hAnsi="ˎ̥" w:eastAsia="黑体"/>
          <w:sz w:val="32"/>
          <w:szCs w:val="32"/>
          <w:lang w:val="en-US"/>
        </w:rPr>
        <w:t>2025</w:t>
      </w:r>
      <w:r>
        <w:rPr>
          <w:rFonts w:hint="eastAsia" w:ascii="黑体" w:hAnsi="ˎ̥" w:eastAsia="黑体"/>
          <w:sz w:val="32"/>
          <w:szCs w:val="32"/>
        </w:rPr>
        <w:t>年度部门决算公开报表</w:t>
      </w:r>
      <w:bookmarkEnd w:id="22"/>
      <w:bookmarkEnd w:id="23"/>
      <w:bookmarkEnd w:id="24"/>
      <w:bookmarkEnd w:id="25"/>
      <w:bookmarkEnd w:id="26"/>
      <w:bookmarkEnd w:id="27"/>
    </w:p>
    <w:p w14:paraId="4DE37156">
      <w:p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一、收入支出决算公开表</w:t>
      </w:r>
      <w:bookmarkEnd w:id="28"/>
      <w:bookmarkEnd w:id="29"/>
      <w:bookmarkEnd w:id="30"/>
      <w:bookmarkEnd w:id="31"/>
      <w:bookmarkEnd w:id="32"/>
      <w:bookmarkEnd w:id="33"/>
    </w:p>
    <w:p w14:paraId="51D01F7B">
      <w:pPr>
        <w:spacing w:line="578" w:lineRule="exact"/>
        <w:ind w:firstLine="645"/>
        <w:rPr>
          <w:rFonts w:hint="eastAsia" w:ascii="黑体" w:hAnsi="黑体" w:eastAsia="黑体" w:cs="黑体"/>
          <w:sz w:val="32"/>
          <w:szCs w:val="32"/>
        </w:rPr>
      </w:pPr>
      <w:bookmarkStart w:id="34" w:name="_Toc14349_WPSOffice_Level2"/>
      <w:bookmarkStart w:id="35" w:name="_Toc23139_WPSOffice_Level2"/>
      <w:bookmarkStart w:id="36" w:name="_Toc26621_WPSOffice_Level2"/>
      <w:bookmarkStart w:id="37" w:name="_Toc30334_WPSOffice_Level2"/>
      <w:bookmarkStart w:id="38" w:name="_Toc28622_WPSOffice_Level2"/>
      <w:bookmarkStart w:id="39" w:name="_Toc25608_WPSOffice_Level2"/>
      <w:r>
        <w:rPr>
          <w:rFonts w:hint="eastAsia" w:ascii="黑体" w:hAnsi="黑体" w:eastAsia="黑体" w:cs="黑体"/>
          <w:sz w:val="32"/>
          <w:szCs w:val="32"/>
        </w:rPr>
        <w:t>二、收入决算公开表</w:t>
      </w:r>
      <w:bookmarkEnd w:id="34"/>
      <w:bookmarkEnd w:id="35"/>
      <w:bookmarkEnd w:id="36"/>
      <w:bookmarkEnd w:id="37"/>
      <w:bookmarkEnd w:id="38"/>
      <w:bookmarkEnd w:id="39"/>
      <w:bookmarkStart w:id="40" w:name="_Toc5489_WPSOffice_Level2"/>
      <w:bookmarkStart w:id="41" w:name="_Toc13854_WPSOffice_Level2"/>
      <w:bookmarkStart w:id="42" w:name="_Toc17626_WPSOffice_Level2"/>
      <w:bookmarkStart w:id="43" w:name="_Toc3262_WPSOffice_Level2"/>
      <w:bookmarkStart w:id="44" w:name="_Toc17858_WPSOffice_Level2"/>
      <w:bookmarkStart w:id="45" w:name="_Toc14658_WPSOffice_Level2"/>
    </w:p>
    <w:p w14:paraId="48839125">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三、支出决算公开表</w:t>
      </w:r>
      <w:bookmarkEnd w:id="40"/>
      <w:bookmarkEnd w:id="41"/>
      <w:bookmarkEnd w:id="42"/>
      <w:bookmarkEnd w:id="43"/>
      <w:bookmarkEnd w:id="44"/>
      <w:bookmarkEnd w:id="45"/>
      <w:bookmarkStart w:id="46" w:name="_Toc23591_WPSOffice_Level2"/>
      <w:bookmarkStart w:id="47" w:name="_Toc23493_WPSOffice_Level2"/>
      <w:bookmarkStart w:id="48" w:name="_Toc4265_WPSOffice_Level2"/>
      <w:bookmarkStart w:id="49" w:name="_Toc13701_WPSOffice_Level2"/>
      <w:bookmarkStart w:id="50" w:name="_Toc7988_WPSOffice_Level2"/>
      <w:bookmarkStart w:id="51" w:name="_Toc21415_WPSOffice_Level2"/>
    </w:p>
    <w:p w14:paraId="1CFC1CB7">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四、财政拨款收入支出决算公开表</w:t>
      </w:r>
      <w:bookmarkEnd w:id="46"/>
      <w:bookmarkEnd w:id="47"/>
      <w:bookmarkEnd w:id="48"/>
      <w:bookmarkEnd w:id="49"/>
      <w:bookmarkEnd w:id="50"/>
      <w:bookmarkEnd w:id="51"/>
    </w:p>
    <w:p w14:paraId="4D6FDF99">
      <w:pPr>
        <w:spacing w:line="578" w:lineRule="exact"/>
        <w:ind w:firstLine="645"/>
        <w:rPr>
          <w:rFonts w:hint="eastAsia" w:ascii="黑体" w:hAnsi="黑体" w:eastAsia="黑体" w:cs="黑体"/>
          <w:sz w:val="32"/>
          <w:szCs w:val="32"/>
        </w:rPr>
      </w:pPr>
      <w:bookmarkStart w:id="52" w:name="_Toc7879_WPSOffice_Level2"/>
      <w:bookmarkStart w:id="53" w:name="_Toc25166_WPSOffice_Level2"/>
      <w:bookmarkStart w:id="54" w:name="_Toc22783_WPSOffice_Level2"/>
      <w:bookmarkStart w:id="55" w:name="_Toc23829_WPSOffice_Level2"/>
      <w:bookmarkStart w:id="56" w:name="_Toc13516_WPSOffice_Level2"/>
      <w:bookmarkStart w:id="57" w:name="_Toc2158_WPSOffice_Level2"/>
      <w:r>
        <w:rPr>
          <w:rFonts w:hint="eastAsia" w:ascii="黑体" w:hAnsi="黑体" w:eastAsia="黑体" w:cs="黑体"/>
          <w:sz w:val="32"/>
          <w:szCs w:val="32"/>
        </w:rPr>
        <w:t>五、一般公共预算财政拨款收入支出决算</w:t>
      </w:r>
      <w:bookmarkEnd w:id="52"/>
      <w:bookmarkEnd w:id="53"/>
      <w:bookmarkEnd w:id="54"/>
      <w:bookmarkEnd w:id="55"/>
      <w:r>
        <w:rPr>
          <w:rFonts w:hint="eastAsia" w:ascii="黑体" w:hAnsi="黑体" w:eastAsia="黑体" w:cs="黑体"/>
          <w:sz w:val="32"/>
          <w:szCs w:val="32"/>
        </w:rPr>
        <w:t>公开表</w:t>
      </w:r>
      <w:bookmarkEnd w:id="56"/>
      <w:bookmarkEnd w:id="57"/>
      <w:bookmarkStart w:id="58" w:name="_Toc5343_WPSOffice_Level2"/>
      <w:bookmarkStart w:id="59" w:name="_Toc17283_WPSOffice_Level2"/>
      <w:bookmarkStart w:id="60" w:name="_Toc2632_WPSOffice_Level2"/>
      <w:bookmarkStart w:id="61" w:name="_Toc8373_WPSOffice_Level2"/>
      <w:bookmarkStart w:id="62" w:name="_Toc25362_WPSOffice_Level2"/>
      <w:bookmarkStart w:id="63" w:name="_Toc17833_WPSOffice_Level2"/>
    </w:p>
    <w:p w14:paraId="1EE6633C">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六、一般公共预算财政拨款基本支出决算</w:t>
      </w:r>
      <w:bookmarkEnd w:id="58"/>
      <w:bookmarkEnd w:id="59"/>
      <w:bookmarkEnd w:id="60"/>
      <w:bookmarkEnd w:id="61"/>
      <w:bookmarkEnd w:id="62"/>
      <w:bookmarkEnd w:id="63"/>
      <w:r>
        <w:rPr>
          <w:rFonts w:hint="eastAsia" w:ascii="黑体" w:hAnsi="黑体" w:eastAsia="黑体" w:cs="黑体"/>
          <w:sz w:val="32"/>
          <w:szCs w:val="32"/>
        </w:rPr>
        <w:t>公开表</w:t>
      </w:r>
    </w:p>
    <w:p w14:paraId="6BC0A688">
      <w:pPr>
        <w:spacing w:line="578" w:lineRule="exact"/>
        <w:ind w:left="1118" w:leftChars="304" w:hanging="480" w:hangingChars="150"/>
        <w:rPr>
          <w:rFonts w:hint="eastAsia" w:ascii="黑体" w:hAnsi="黑体" w:eastAsia="黑体" w:cs="黑体"/>
          <w:sz w:val="32"/>
          <w:szCs w:val="32"/>
        </w:rPr>
      </w:pPr>
      <w:bookmarkStart w:id="64" w:name="_Toc11799_WPSOffice_Level2"/>
      <w:bookmarkStart w:id="65" w:name="_Toc1533_WPSOffice_Level2"/>
      <w:bookmarkStart w:id="66" w:name="_Toc5594_WPSOffice_Level2"/>
      <w:bookmarkStart w:id="67" w:name="_Toc6020_WPSOffice_Level2"/>
      <w:bookmarkStart w:id="68" w:name="_Toc13345_WPSOffice_Level2"/>
      <w:bookmarkStart w:id="69" w:name="_Toc21310_WPSOffice_Level2"/>
      <w:r>
        <w:rPr>
          <w:rFonts w:hint="eastAsia" w:ascii="黑体" w:hAnsi="黑体" w:eastAsia="黑体" w:cs="黑体"/>
          <w:sz w:val="32"/>
          <w:szCs w:val="32"/>
        </w:rPr>
        <w:t>七、政府性基金预算财政拨款收入支出决算</w:t>
      </w:r>
      <w:bookmarkEnd w:id="64"/>
      <w:bookmarkEnd w:id="65"/>
      <w:bookmarkEnd w:id="66"/>
      <w:bookmarkEnd w:id="67"/>
      <w:bookmarkEnd w:id="68"/>
      <w:bookmarkEnd w:id="69"/>
      <w:r>
        <w:rPr>
          <w:rFonts w:hint="eastAsia" w:ascii="黑体" w:hAnsi="黑体" w:eastAsia="黑体" w:cs="黑体"/>
          <w:sz w:val="32"/>
          <w:szCs w:val="32"/>
        </w:rPr>
        <w:t>公开表</w:t>
      </w:r>
    </w:p>
    <w:p w14:paraId="398B5936">
      <w:pPr>
        <w:spacing w:line="578" w:lineRule="exact"/>
        <w:ind w:left="1118" w:leftChars="304" w:hanging="480" w:hangingChars="150"/>
        <w:rPr>
          <w:rFonts w:hint="eastAsia" w:ascii="黑体" w:hAnsi="黑体" w:eastAsia="黑体" w:cs="黑体"/>
          <w:sz w:val="32"/>
          <w:szCs w:val="32"/>
        </w:rPr>
      </w:pPr>
      <w:r>
        <w:rPr>
          <w:rFonts w:hint="eastAsia" w:ascii="黑体" w:hAnsi="黑体" w:eastAsia="黑体" w:cs="黑体"/>
          <w:sz w:val="32"/>
          <w:szCs w:val="32"/>
        </w:rPr>
        <w:t>八、国有资本经营预算财政拨款收入支出决算公开表</w:t>
      </w:r>
    </w:p>
    <w:p w14:paraId="219C96C9">
      <w:pPr>
        <w:spacing w:line="578" w:lineRule="exact"/>
        <w:ind w:firstLine="640"/>
        <w:rPr>
          <w:rFonts w:hint="eastAsia" w:ascii="黑体" w:hAnsi="黑体" w:eastAsia="黑体" w:cs="黑体"/>
          <w:sz w:val="32"/>
          <w:szCs w:val="32"/>
        </w:rPr>
      </w:pPr>
      <w:bookmarkStart w:id="70" w:name="_Toc9377_WPSOffice_Level2"/>
      <w:bookmarkStart w:id="71" w:name="_Toc19961_WPSOffice_Level2"/>
      <w:bookmarkStart w:id="72" w:name="_Toc1820_WPSOffice_Level2"/>
      <w:bookmarkStart w:id="73" w:name="_Toc29886_WPSOffice_Level2"/>
      <w:r>
        <w:rPr>
          <w:rFonts w:hint="eastAsia" w:ascii="黑体" w:hAnsi="黑体" w:eastAsia="黑体" w:cs="黑体"/>
          <w:sz w:val="32"/>
          <w:szCs w:val="32"/>
        </w:rPr>
        <w:t>九、财政拨款“三公”经费支出决算</w:t>
      </w:r>
      <w:bookmarkEnd w:id="70"/>
      <w:bookmarkEnd w:id="71"/>
      <w:bookmarkEnd w:id="72"/>
      <w:bookmarkEnd w:id="73"/>
      <w:r>
        <w:rPr>
          <w:rFonts w:hint="eastAsia" w:ascii="黑体" w:hAnsi="黑体" w:eastAsia="黑体" w:cs="黑体"/>
          <w:sz w:val="32"/>
          <w:szCs w:val="32"/>
        </w:rPr>
        <w:t>公开表</w:t>
      </w:r>
    </w:p>
    <w:p w14:paraId="19724D6B">
      <w:pPr>
        <w:spacing w:line="578" w:lineRule="exact"/>
        <w:ind w:firstLine="640"/>
        <w:rPr>
          <w:rFonts w:hint="eastAsia" w:ascii="仿宋" w:hAnsi="仿宋" w:eastAsia="仿宋" w:cs="仿宋"/>
          <w:w w:val="100"/>
          <w:sz w:val="32"/>
          <w:szCs w:val="32"/>
        </w:rPr>
      </w:pPr>
      <w:r>
        <w:rPr>
          <w:rFonts w:hint="eastAsia" w:ascii="仿宋" w:hAnsi="仿宋" w:eastAsia="仿宋" w:cs="仿宋"/>
          <w:w w:val="100"/>
          <w:sz w:val="32"/>
          <w:szCs w:val="32"/>
        </w:rPr>
        <w:t xml:space="preserve">以上报表见附件1。   </w:t>
      </w:r>
    </w:p>
    <w:p w14:paraId="143731CF">
      <w:pPr>
        <w:spacing w:line="578" w:lineRule="exact"/>
        <w:ind w:firstLine="1600" w:firstLineChars="500"/>
        <w:jc w:val="both"/>
        <w:rPr>
          <w:rFonts w:hint="eastAsia" w:ascii="黑体" w:hAnsi="ˎ̥" w:eastAsia="黑体"/>
          <w:sz w:val="32"/>
          <w:szCs w:val="32"/>
        </w:rPr>
      </w:pPr>
      <w:bookmarkStart w:id="74" w:name="_Toc31264_WPSOffice_Level1"/>
      <w:bookmarkStart w:id="75" w:name="_Toc27590_WPSOffice_Level1"/>
      <w:bookmarkStart w:id="76" w:name="_Toc28629_WPSOffice_Level1"/>
      <w:bookmarkStart w:id="77" w:name="_Toc29683_WPSOffice_Level1"/>
      <w:bookmarkStart w:id="78" w:name="_Toc16686_WPSOffice_Level1"/>
      <w:bookmarkStart w:id="79" w:name="_Toc4402_WPSOffice_Level1"/>
      <w:r>
        <w:rPr>
          <w:rFonts w:hint="eastAsia" w:ascii="黑体" w:hAnsi="ˎ̥" w:eastAsia="黑体"/>
          <w:sz w:val="32"/>
          <w:szCs w:val="32"/>
        </w:rPr>
        <w:t xml:space="preserve">第三部分  </w:t>
      </w:r>
      <w:r>
        <w:rPr>
          <w:rFonts w:hint="default" w:ascii="黑体" w:hAnsi="ˎ̥" w:eastAsia="黑体"/>
          <w:sz w:val="32"/>
          <w:szCs w:val="32"/>
          <w:lang w:val="en-US"/>
        </w:rPr>
        <w:t>2025</w:t>
      </w:r>
      <w:r>
        <w:rPr>
          <w:rFonts w:hint="eastAsia" w:ascii="黑体" w:hAnsi="ˎ̥" w:eastAsia="黑体"/>
          <w:sz w:val="32"/>
          <w:szCs w:val="32"/>
        </w:rPr>
        <w:t>年度部门决算情况说明</w:t>
      </w:r>
      <w:bookmarkEnd w:id="74"/>
      <w:bookmarkEnd w:id="75"/>
      <w:bookmarkEnd w:id="76"/>
      <w:bookmarkEnd w:id="77"/>
      <w:bookmarkEnd w:id="78"/>
      <w:bookmarkEnd w:id="79"/>
    </w:p>
    <w:p w14:paraId="2E4A328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黑体" w:hAnsi="黑体" w:eastAsia="黑体" w:cs="黑体"/>
          <w:bCs/>
          <w:sz w:val="32"/>
          <w:szCs w:val="32"/>
        </w:rPr>
        <w:t>一、收入支出总体情况说明</w:t>
      </w:r>
      <w:r>
        <w:rPr>
          <w:rFonts w:hint="eastAsia" w:ascii="黑体" w:hAnsi="黑体" w:eastAsia="黑体" w:cs="黑体"/>
          <w:bCs/>
          <w:sz w:val="32"/>
          <w:szCs w:val="32"/>
        </w:rPr>
        <w:br w:type="textWrapping"/>
      </w:r>
      <w:r>
        <w:rPr>
          <w:rFonts w:hint="eastAsia" w:ascii="楷体_GB2312" w:hAnsi="ˎ̥" w:eastAsia="楷体_GB2312"/>
          <w:sz w:val="32"/>
          <w:szCs w:val="32"/>
        </w:rPr>
        <w:t xml:space="preserve">  </w:t>
      </w:r>
      <w:r>
        <w:rPr>
          <w:rFonts w:hint="eastAsia" w:ascii="楷体_GB2312" w:hAnsi="ˎ̥" w:eastAsia="楷体_GB2312"/>
          <w:color w:val="auto"/>
          <w:sz w:val="32"/>
          <w:szCs w:val="32"/>
        </w:rPr>
        <w:t xml:space="preserve">  </w:t>
      </w:r>
      <w:r>
        <w:rPr>
          <w:rFonts w:hint="default" w:ascii="仿宋_GB2312" w:hAnsi="ˎ̥" w:eastAsia="仿宋_GB2312"/>
          <w:color w:val="auto"/>
          <w:sz w:val="32"/>
          <w:szCs w:val="32"/>
          <w:lang w:val="en-US"/>
        </w:rPr>
        <w:t>2025</w:t>
      </w:r>
      <w:r>
        <w:rPr>
          <w:rFonts w:hint="eastAsia" w:ascii="仿宋_GB2312" w:hAnsi="ˎ̥" w:eastAsia="仿宋_GB2312"/>
          <w:color w:val="auto"/>
          <w:sz w:val="32"/>
          <w:szCs w:val="32"/>
        </w:rPr>
        <w:t>年度收入总计</w:t>
      </w:r>
      <w:r>
        <w:rPr>
          <w:rFonts w:hint="default" w:ascii="仿宋_GB2312" w:hAnsi="ˎ̥" w:eastAsia="仿宋_GB2312"/>
          <w:color w:val="auto"/>
          <w:sz w:val="32"/>
          <w:szCs w:val="32"/>
          <w:lang w:val="en-US"/>
        </w:rPr>
        <w:t>5,582.11</w:t>
      </w:r>
      <w:r>
        <w:rPr>
          <w:rFonts w:hint="eastAsia" w:ascii="仿宋_GB2312" w:hAnsi="ˎ̥" w:eastAsia="仿宋_GB2312"/>
          <w:color w:val="auto"/>
          <w:sz w:val="32"/>
          <w:szCs w:val="32"/>
        </w:rPr>
        <w:t>万元，支出总计</w:t>
      </w:r>
      <w:r>
        <w:rPr>
          <w:rFonts w:hint="default" w:ascii="仿宋_GB2312" w:hAnsi="ˎ̥" w:eastAsia="仿宋_GB2312"/>
          <w:color w:val="auto"/>
          <w:sz w:val="32"/>
          <w:szCs w:val="32"/>
          <w:lang w:val="en-US"/>
        </w:rPr>
        <w:t>5,582.11</w:t>
      </w:r>
      <w:r>
        <w:rPr>
          <w:rFonts w:hint="eastAsia" w:ascii="仿宋_GB2312" w:hAnsi="ˎ̥" w:eastAsia="仿宋_GB2312"/>
          <w:color w:val="auto"/>
          <w:sz w:val="32"/>
          <w:szCs w:val="32"/>
        </w:rPr>
        <w:t>万元，与</w:t>
      </w: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年度相比，收入、支出总计各减少</w:t>
      </w:r>
      <w:r>
        <w:rPr>
          <w:rFonts w:hint="eastAsia" w:ascii="仿宋_GB2312" w:hAnsi="ˎ̥" w:eastAsia="仿宋_GB2312"/>
          <w:color w:val="auto"/>
          <w:sz w:val="32"/>
          <w:szCs w:val="32"/>
          <w:lang w:val="en-US" w:eastAsia="zh-CN"/>
        </w:rPr>
        <w:t>22170.05</w:t>
      </w:r>
      <w:r>
        <w:rPr>
          <w:rFonts w:hint="eastAsia" w:ascii="仿宋_GB2312" w:hAnsi="ˎ̥" w:eastAsia="仿宋_GB2312"/>
          <w:color w:val="auto"/>
          <w:sz w:val="32"/>
          <w:szCs w:val="32"/>
        </w:rPr>
        <w:t>万元，下降</w:t>
      </w:r>
      <w:r>
        <w:rPr>
          <w:rFonts w:hint="eastAsia" w:ascii="仿宋_GB2312" w:hAnsi="ˎ̥" w:eastAsia="仿宋_GB2312"/>
          <w:color w:val="auto"/>
          <w:sz w:val="32"/>
          <w:szCs w:val="32"/>
          <w:lang w:val="en-US" w:eastAsia="zh-CN"/>
        </w:rPr>
        <w:t>397.16</w:t>
      </w:r>
      <w:r>
        <w:rPr>
          <w:rFonts w:hint="eastAsia" w:ascii="仿宋_GB2312" w:hAnsi="ˎ̥" w:eastAsia="仿宋_GB2312"/>
          <w:color w:val="auto"/>
          <w:sz w:val="32"/>
          <w:szCs w:val="32"/>
        </w:rPr>
        <w:t>%。主要原因：2025年减少弄利措水库工程资金及专项债券转贷支出。</w:t>
      </w:r>
    </w:p>
    <w:p w14:paraId="07672A6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color w:val="auto"/>
          <w:sz w:val="32"/>
          <w:szCs w:val="32"/>
        </w:rPr>
      </w:pPr>
      <w:r>
        <w:rPr>
          <w:rFonts w:hint="eastAsia" w:ascii="楷体" w:hAnsi="楷体" w:eastAsia="楷体" w:cs="楷体"/>
          <w:color w:val="auto"/>
          <w:sz w:val="32"/>
          <w:szCs w:val="32"/>
        </w:rPr>
        <w:t>（一</w:t>
      </w:r>
      <w:r>
        <w:rPr>
          <w:rFonts w:ascii="楷体" w:hAnsi="楷体" w:eastAsia="楷体" w:cs="楷体"/>
          <w:color w:val="auto"/>
          <w:sz w:val="32"/>
          <w:szCs w:val="32"/>
        </w:rPr>
        <w:t>）</w:t>
      </w:r>
      <w:r>
        <w:rPr>
          <w:rFonts w:hint="eastAsia" w:ascii="楷体" w:hAnsi="楷体" w:eastAsia="楷体" w:cs="楷体"/>
          <w:color w:val="auto"/>
          <w:sz w:val="32"/>
          <w:szCs w:val="32"/>
        </w:rPr>
        <w:t>收入</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14:paraId="6D0CB62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本年</w:t>
      </w:r>
      <w:r>
        <w:rPr>
          <w:rFonts w:ascii="仿宋_GB2312" w:hAnsi="ˎ̥" w:eastAsia="仿宋_GB2312"/>
          <w:color w:val="auto"/>
          <w:sz w:val="32"/>
          <w:szCs w:val="32"/>
        </w:rPr>
        <w:t>收入</w:t>
      </w:r>
      <w:r>
        <w:rPr>
          <w:rFonts w:hint="default" w:ascii="仿宋_GB2312" w:hAnsi="ˎ̥" w:eastAsia="仿宋_GB2312"/>
          <w:color w:val="auto"/>
          <w:sz w:val="32"/>
          <w:szCs w:val="32"/>
          <w:lang w:val="en-US"/>
        </w:rPr>
        <w:t>5,577.62</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：一般公共预算财政拨款收入</w:t>
      </w:r>
      <w:r>
        <w:rPr>
          <w:rFonts w:hint="eastAsia" w:ascii="仿宋_GB2312" w:hAnsi="ˎ̥" w:eastAsia="仿宋_GB2312"/>
          <w:color w:val="auto"/>
          <w:sz w:val="32"/>
          <w:szCs w:val="32"/>
          <w:lang w:val="en-US" w:eastAsia="zh-CN"/>
        </w:rPr>
        <w:t>3529.46万元，政府性基金预算财政拨款收入1988.39万元，其他收入59.76万元。</w:t>
      </w:r>
      <w:r>
        <w:rPr>
          <w:rFonts w:hint="eastAsia" w:ascii="仿宋_GB2312" w:hAnsi="ˎ̥" w:eastAsia="仿宋_GB2312"/>
          <w:color w:val="auto"/>
          <w:sz w:val="32"/>
          <w:szCs w:val="32"/>
        </w:rPr>
        <w:t>年初结转结余</w:t>
      </w:r>
      <w:r>
        <w:rPr>
          <w:rFonts w:hint="default" w:ascii="仿宋_GB2312" w:hAnsi="ˎ̥" w:eastAsia="仿宋_GB2312"/>
          <w:color w:val="auto"/>
          <w:sz w:val="32"/>
          <w:szCs w:val="32"/>
          <w:lang w:val="en-US"/>
        </w:rPr>
        <w:t>4.49</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上年结转援藏资金</w:t>
      </w:r>
      <w:r>
        <w:rPr>
          <w:rFonts w:hint="eastAsia" w:ascii="仿宋_GB2312" w:hAnsi="ˎ̥" w:eastAsia="仿宋_GB2312"/>
          <w:color w:val="auto"/>
          <w:sz w:val="32"/>
          <w:szCs w:val="32"/>
        </w:rPr>
        <w:t>），较</w:t>
      </w: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年度决算数减少</w:t>
      </w:r>
      <w:r>
        <w:rPr>
          <w:rFonts w:hint="eastAsia" w:ascii="仿宋_GB2312" w:hAnsi="ˎ̥" w:eastAsia="仿宋_GB2312"/>
          <w:color w:val="auto"/>
          <w:sz w:val="32"/>
          <w:szCs w:val="32"/>
          <w:lang w:val="en-US" w:eastAsia="zh-CN"/>
        </w:rPr>
        <w:t>22170.05</w:t>
      </w:r>
      <w:r>
        <w:rPr>
          <w:rFonts w:hint="eastAsia" w:ascii="仿宋_GB2312" w:hAnsi="ˎ̥" w:eastAsia="仿宋_GB2312"/>
          <w:color w:val="auto"/>
          <w:sz w:val="32"/>
          <w:szCs w:val="32"/>
        </w:rPr>
        <w:t>万元，下降</w:t>
      </w:r>
      <w:r>
        <w:rPr>
          <w:rFonts w:hint="eastAsia" w:ascii="仿宋_GB2312" w:hAnsi="ˎ̥" w:eastAsia="仿宋_GB2312"/>
          <w:color w:val="auto"/>
          <w:sz w:val="32"/>
          <w:szCs w:val="32"/>
          <w:lang w:val="en-US" w:eastAsia="zh-CN"/>
        </w:rPr>
        <w:t>397.16</w:t>
      </w:r>
      <w:r>
        <w:rPr>
          <w:rFonts w:hint="eastAsia" w:ascii="仿宋_GB2312" w:hAnsi="ˎ̥" w:eastAsia="仿宋_GB2312"/>
          <w:color w:val="auto"/>
          <w:sz w:val="32"/>
          <w:szCs w:val="32"/>
        </w:rPr>
        <w:t>%。主要原因：2025年减少弄利措水库工程资金及专项债券转贷支出。</w:t>
      </w:r>
    </w:p>
    <w:p w14:paraId="42E1F2E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rPr>
        <w:t>（二</w:t>
      </w:r>
      <w:r>
        <w:rPr>
          <w:rFonts w:ascii="楷体" w:hAnsi="楷体" w:eastAsia="楷体" w:cs="楷体"/>
          <w:color w:val="auto"/>
          <w:sz w:val="32"/>
          <w:szCs w:val="32"/>
        </w:rPr>
        <w:t>）</w:t>
      </w:r>
      <w:r>
        <w:rPr>
          <w:rFonts w:hint="eastAsia" w:ascii="楷体" w:hAnsi="楷体" w:eastAsia="楷体" w:cs="楷体"/>
          <w:color w:val="auto"/>
          <w:sz w:val="32"/>
          <w:szCs w:val="32"/>
        </w:rPr>
        <w:t>支出</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14:paraId="3FA1522C">
      <w:pPr>
        <w:spacing w:line="578" w:lineRule="exact"/>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rPr>
        <w:t>本年支出</w:t>
      </w:r>
      <w:r>
        <w:rPr>
          <w:rFonts w:hint="default" w:ascii="仿宋_GB2312" w:hAnsi="ˎ̥" w:eastAsia="仿宋_GB2312"/>
          <w:color w:val="auto"/>
          <w:sz w:val="32"/>
          <w:szCs w:val="32"/>
          <w:lang w:val="en-US"/>
        </w:rPr>
        <w:t>5,582.11</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其中：社会保障和就业支出：</w:t>
      </w:r>
      <w:r>
        <w:rPr>
          <w:rFonts w:hint="eastAsia" w:ascii="仿宋_GB2312" w:hAnsi="ˎ̥" w:eastAsia="仿宋_GB2312"/>
          <w:color w:val="auto"/>
          <w:sz w:val="32"/>
          <w:szCs w:val="32"/>
          <w:lang w:val="en-US" w:eastAsia="zh-CN"/>
        </w:rPr>
        <w:t>292.20万元，</w:t>
      </w:r>
      <w:r>
        <w:rPr>
          <w:rFonts w:hint="eastAsia" w:ascii="仿宋_GB2312" w:hAnsi="ˎ̥" w:eastAsia="仿宋_GB2312"/>
          <w:color w:val="auto"/>
          <w:sz w:val="32"/>
          <w:szCs w:val="32"/>
          <w:lang w:eastAsia="zh-CN"/>
        </w:rPr>
        <w:t>卫生健康支出：</w:t>
      </w:r>
      <w:r>
        <w:rPr>
          <w:rFonts w:hint="eastAsia" w:ascii="仿宋_GB2312" w:hAnsi="ˎ̥" w:eastAsia="仿宋_GB2312"/>
          <w:color w:val="auto"/>
          <w:sz w:val="32"/>
          <w:szCs w:val="32"/>
          <w:lang w:val="en-US" w:eastAsia="zh-CN"/>
        </w:rPr>
        <w:t>119.86万元，</w:t>
      </w:r>
      <w:r>
        <w:rPr>
          <w:rFonts w:hint="eastAsia" w:ascii="仿宋_GB2312" w:hAnsi="ˎ̥" w:eastAsia="仿宋_GB2312"/>
          <w:color w:val="auto"/>
          <w:sz w:val="32"/>
          <w:szCs w:val="32"/>
          <w:lang w:eastAsia="zh-CN"/>
        </w:rPr>
        <w:t>农林水支出：</w:t>
      </w:r>
      <w:r>
        <w:rPr>
          <w:rFonts w:hint="eastAsia" w:ascii="仿宋_GB2312" w:hAnsi="ˎ̥" w:eastAsia="仿宋_GB2312"/>
          <w:color w:val="auto"/>
          <w:sz w:val="32"/>
          <w:szCs w:val="32"/>
          <w:lang w:val="en-US" w:eastAsia="zh-CN"/>
        </w:rPr>
        <w:t>5013.70万元，</w:t>
      </w:r>
      <w:r>
        <w:rPr>
          <w:rFonts w:hint="eastAsia" w:ascii="仿宋_GB2312" w:hAnsi="ˎ̥" w:eastAsia="仿宋_GB2312"/>
          <w:color w:val="auto"/>
          <w:sz w:val="32"/>
          <w:szCs w:val="32"/>
          <w:lang w:eastAsia="zh-CN"/>
        </w:rPr>
        <w:t>住房保障支出</w:t>
      </w:r>
      <w:r>
        <w:rPr>
          <w:rFonts w:hint="eastAsia" w:ascii="仿宋_GB2312" w:hAnsi="ˎ̥" w:eastAsia="仿宋_GB2312"/>
          <w:color w:val="auto"/>
          <w:sz w:val="32"/>
          <w:szCs w:val="32"/>
          <w:lang w:val="en-US" w:eastAsia="zh-CN"/>
        </w:rPr>
        <w:t>:156.35万元。</w:t>
      </w:r>
      <w:r>
        <w:rPr>
          <w:rFonts w:hint="eastAsia" w:ascii="仿宋_GB2312" w:hAnsi="ˎ̥" w:eastAsia="仿宋_GB2312"/>
          <w:color w:val="auto"/>
          <w:sz w:val="32"/>
          <w:szCs w:val="32"/>
        </w:rPr>
        <w:t>年末</w:t>
      </w:r>
      <w:r>
        <w:rPr>
          <w:rFonts w:hint="eastAsia" w:ascii="仿宋_GB2312" w:hAnsi="ˎ̥" w:eastAsia="仿宋_GB2312"/>
          <w:color w:val="auto"/>
          <w:sz w:val="32"/>
          <w:szCs w:val="32"/>
          <w:lang w:eastAsia="zh-CN"/>
        </w:rPr>
        <w:t>无</w:t>
      </w:r>
      <w:r>
        <w:rPr>
          <w:rFonts w:hint="eastAsia" w:ascii="仿宋_GB2312" w:hAnsi="ˎ̥" w:eastAsia="仿宋_GB2312"/>
          <w:color w:val="auto"/>
          <w:sz w:val="32"/>
          <w:szCs w:val="32"/>
        </w:rPr>
        <w:t>结转结余</w:t>
      </w:r>
      <w:r>
        <w:rPr>
          <w:rFonts w:hint="eastAsia" w:ascii="仿宋_GB2312" w:hAnsi="ˎ̥" w:eastAsia="仿宋_GB2312"/>
          <w:color w:val="auto"/>
          <w:sz w:val="32"/>
          <w:szCs w:val="32"/>
          <w:lang w:eastAsia="zh-CN"/>
        </w:rPr>
        <w:t>资金。</w:t>
      </w:r>
    </w:p>
    <w:p w14:paraId="516C52C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黑体" w:hAnsi="黑体" w:eastAsia="黑体" w:cs="黑体"/>
          <w:bCs/>
          <w:color w:val="auto"/>
          <w:sz w:val="32"/>
          <w:szCs w:val="32"/>
        </w:rPr>
        <w:t>二、收入决算情况说明</w:t>
      </w:r>
      <w:r>
        <w:rPr>
          <w:rFonts w:hint="eastAsia" w:ascii="黑体" w:hAnsi="黑体" w:eastAsia="黑体" w:cs="黑体"/>
          <w:bCs/>
          <w:color w:val="auto"/>
          <w:sz w:val="32"/>
          <w:szCs w:val="32"/>
        </w:rPr>
        <w:br w:type="textWrapping"/>
      </w:r>
      <w:r>
        <w:rPr>
          <w:rFonts w:hint="eastAsia" w:ascii="仿宋_GB2312" w:hAnsi="ˎ̥" w:eastAsia="仿宋_GB2312"/>
          <w:color w:val="auto"/>
          <w:sz w:val="32"/>
          <w:szCs w:val="32"/>
        </w:rPr>
        <w:t xml:space="preserve">    本年收入</w:t>
      </w:r>
      <w:r>
        <w:rPr>
          <w:rFonts w:hint="default" w:ascii="仿宋_GB2312" w:hAnsi="ˎ̥" w:eastAsia="仿宋_GB2312"/>
          <w:color w:val="auto"/>
          <w:sz w:val="32"/>
          <w:szCs w:val="32"/>
          <w:lang w:val="en-US"/>
        </w:rPr>
        <w:t>5,577.62</w:t>
      </w:r>
      <w:r>
        <w:rPr>
          <w:rFonts w:hint="eastAsia" w:ascii="仿宋_GB2312" w:hAnsi="ˎ̥" w:eastAsia="仿宋_GB2312"/>
          <w:color w:val="auto"/>
          <w:sz w:val="32"/>
          <w:szCs w:val="32"/>
        </w:rPr>
        <w:t>万元，其中：财政拨款收入</w:t>
      </w:r>
      <w:r>
        <w:rPr>
          <w:rFonts w:hint="default" w:ascii="仿宋_GB2312" w:hAnsi="ˎ̥" w:eastAsia="仿宋_GB2312"/>
          <w:color w:val="auto"/>
          <w:sz w:val="32"/>
          <w:szCs w:val="32"/>
          <w:lang w:val="en-US"/>
        </w:rPr>
        <w:t>5,517.86</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98.93</w:t>
      </w:r>
      <w:r>
        <w:rPr>
          <w:rFonts w:hint="eastAsia" w:ascii="仿宋_GB2312" w:hAnsi="ˎ̥" w:eastAsia="仿宋_GB2312"/>
          <w:color w:val="auto"/>
          <w:sz w:val="32"/>
          <w:szCs w:val="32"/>
        </w:rPr>
        <w:t>%；其他收入</w:t>
      </w:r>
      <w:r>
        <w:rPr>
          <w:rFonts w:hint="default" w:ascii="仿宋_GB2312" w:hAnsi="ˎ̥" w:eastAsia="仿宋_GB2312"/>
          <w:color w:val="auto"/>
          <w:sz w:val="32"/>
          <w:szCs w:val="32"/>
          <w:lang w:val="en-US"/>
        </w:rPr>
        <w:t>59.76</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1.07</w:t>
      </w:r>
      <w:r>
        <w:rPr>
          <w:rFonts w:hint="eastAsia" w:ascii="仿宋_GB2312" w:hAnsi="ˎ̥" w:eastAsia="仿宋_GB2312"/>
          <w:color w:val="auto"/>
          <w:sz w:val="32"/>
          <w:szCs w:val="32"/>
        </w:rPr>
        <w:t>%。</w:t>
      </w:r>
    </w:p>
    <w:p w14:paraId="63DEA42A">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三、支出决算情况说明</w:t>
      </w:r>
    </w:p>
    <w:p w14:paraId="2760350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lang w:eastAsia="zh-CN"/>
        </w:rPr>
      </w:pPr>
      <w:r>
        <w:rPr>
          <w:rFonts w:hint="eastAsia" w:ascii="仿宋_GB2312" w:hAnsi="ˎ̥" w:eastAsia="仿宋_GB2312"/>
          <w:color w:val="auto"/>
          <w:sz w:val="32"/>
          <w:szCs w:val="32"/>
        </w:rPr>
        <w:t>本年支出</w:t>
      </w:r>
      <w:r>
        <w:rPr>
          <w:rFonts w:hint="default" w:ascii="仿宋_GB2312" w:hAnsi="ˎ̥" w:eastAsia="仿宋_GB2312"/>
          <w:color w:val="auto"/>
          <w:sz w:val="32"/>
          <w:szCs w:val="32"/>
          <w:lang w:val="en-US"/>
        </w:rPr>
        <w:t>5,582.11</w:t>
      </w:r>
      <w:r>
        <w:rPr>
          <w:rFonts w:hint="eastAsia" w:ascii="仿宋_GB2312" w:hAnsi="ˎ̥" w:eastAsia="仿宋_GB2312"/>
          <w:color w:val="auto"/>
          <w:sz w:val="32"/>
          <w:szCs w:val="32"/>
        </w:rPr>
        <w:t>万元，其中：基本支出</w:t>
      </w:r>
      <w:r>
        <w:rPr>
          <w:rFonts w:hint="default" w:ascii="仿宋_GB2312" w:hAnsi="ˎ̥" w:eastAsia="仿宋_GB2312"/>
          <w:color w:val="auto"/>
          <w:sz w:val="32"/>
          <w:szCs w:val="32"/>
          <w:lang w:val="en-US"/>
        </w:rPr>
        <w:t>2,410.09</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43.18</w:t>
      </w:r>
      <w:r>
        <w:rPr>
          <w:rFonts w:hint="eastAsia" w:ascii="仿宋_GB2312" w:hAnsi="ˎ̥" w:eastAsia="仿宋_GB2312"/>
          <w:color w:val="auto"/>
          <w:sz w:val="32"/>
          <w:szCs w:val="32"/>
        </w:rPr>
        <w:t>%；项目支出</w:t>
      </w:r>
      <w:r>
        <w:rPr>
          <w:rFonts w:hint="default" w:ascii="仿宋_GB2312" w:hAnsi="ˎ̥" w:eastAsia="仿宋_GB2312"/>
          <w:color w:val="auto"/>
          <w:sz w:val="32"/>
          <w:szCs w:val="32"/>
          <w:lang w:val="en-US"/>
        </w:rPr>
        <w:t>3,172.02</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56.82</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09C05F21">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四、财政拨款收入支出决算总体情况说明</w:t>
      </w:r>
    </w:p>
    <w:p w14:paraId="752BA5A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default" w:ascii="仿宋_GB2312" w:hAnsi="ˎ̥" w:eastAsia="仿宋_GB2312"/>
          <w:color w:val="auto"/>
          <w:sz w:val="32"/>
          <w:szCs w:val="32"/>
          <w:lang w:val="en-US"/>
        </w:rPr>
        <w:t>2025</w:t>
      </w:r>
      <w:r>
        <w:rPr>
          <w:rFonts w:hint="eastAsia" w:ascii="仿宋_GB2312" w:hAnsi="ˎ̥" w:eastAsia="仿宋_GB2312"/>
          <w:color w:val="auto"/>
          <w:sz w:val="32"/>
          <w:szCs w:val="32"/>
        </w:rPr>
        <w:t>年度财政拨款收入</w:t>
      </w:r>
      <w:r>
        <w:rPr>
          <w:rFonts w:hint="default" w:ascii="仿宋_GB2312" w:hAnsi="ˎ̥" w:eastAsia="仿宋_GB2312"/>
          <w:color w:val="auto"/>
          <w:sz w:val="32"/>
          <w:szCs w:val="32"/>
          <w:lang w:val="en-US"/>
        </w:rPr>
        <w:t>5,517.86</w:t>
      </w:r>
      <w:r>
        <w:rPr>
          <w:rFonts w:hint="eastAsia" w:ascii="仿宋_GB2312" w:hAnsi="ˎ̥" w:eastAsia="仿宋_GB2312"/>
          <w:color w:val="auto"/>
          <w:sz w:val="32"/>
          <w:szCs w:val="32"/>
        </w:rPr>
        <w:t>万元，支出</w:t>
      </w:r>
      <w:r>
        <w:rPr>
          <w:rFonts w:hint="default" w:ascii="仿宋_GB2312" w:hAnsi="ˎ̥" w:eastAsia="仿宋_GB2312"/>
          <w:color w:val="auto"/>
          <w:sz w:val="32"/>
          <w:szCs w:val="32"/>
          <w:lang w:val="en-US"/>
        </w:rPr>
        <w:t>5,517.86</w:t>
      </w:r>
      <w:r>
        <w:rPr>
          <w:rFonts w:hint="eastAsia" w:ascii="仿宋_GB2312" w:hAnsi="ˎ̥" w:eastAsia="仿宋_GB2312"/>
          <w:color w:val="auto"/>
          <w:sz w:val="32"/>
          <w:szCs w:val="32"/>
        </w:rPr>
        <w:t>万元。与</w:t>
      </w: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年度相比，财政拨款收入减少</w:t>
      </w:r>
      <w:r>
        <w:rPr>
          <w:rFonts w:hint="eastAsia" w:ascii="仿宋_GB2312" w:hAnsi="ˎ̥" w:eastAsia="仿宋_GB2312"/>
          <w:color w:val="auto"/>
          <w:sz w:val="32"/>
          <w:szCs w:val="32"/>
          <w:lang w:val="en-US" w:eastAsia="zh-CN"/>
        </w:rPr>
        <w:t>22238.80</w:t>
      </w:r>
      <w:r>
        <w:rPr>
          <w:rFonts w:hint="eastAsia" w:ascii="仿宋_GB2312" w:hAnsi="ˎ̥" w:eastAsia="仿宋_GB2312"/>
          <w:color w:val="auto"/>
          <w:sz w:val="32"/>
          <w:szCs w:val="32"/>
        </w:rPr>
        <w:t>万元，增长（下降）</w:t>
      </w:r>
      <w:r>
        <w:rPr>
          <w:rFonts w:hint="eastAsia" w:ascii="仿宋_GB2312" w:hAnsi="ˎ̥" w:eastAsia="仿宋_GB2312"/>
          <w:color w:val="auto"/>
          <w:sz w:val="32"/>
          <w:szCs w:val="32"/>
          <w:lang w:val="en-US" w:eastAsia="zh-CN"/>
        </w:rPr>
        <w:t>403.03</w:t>
      </w:r>
      <w:r>
        <w:rPr>
          <w:rFonts w:hint="eastAsia" w:ascii="仿宋_GB2312" w:hAnsi="ˎ̥" w:eastAsia="仿宋_GB2312"/>
          <w:color w:val="auto"/>
          <w:sz w:val="32"/>
          <w:szCs w:val="32"/>
        </w:rPr>
        <w:t>%，主要原因：2025年减少弄利措水库工程资金及专项债券转贷支出。支出增加（减少）</w:t>
      </w:r>
      <w:r>
        <w:rPr>
          <w:rFonts w:hint="eastAsia" w:ascii="仿宋_GB2312" w:hAnsi="ˎ̥" w:eastAsia="仿宋_GB2312"/>
          <w:color w:val="auto"/>
          <w:sz w:val="32"/>
          <w:szCs w:val="32"/>
          <w:lang w:val="en-US" w:eastAsia="zh-CN"/>
        </w:rPr>
        <w:t>22238.80</w:t>
      </w:r>
      <w:r>
        <w:rPr>
          <w:rFonts w:hint="eastAsia" w:ascii="仿宋_GB2312" w:hAnsi="ˎ̥" w:eastAsia="仿宋_GB2312"/>
          <w:color w:val="auto"/>
          <w:sz w:val="32"/>
          <w:szCs w:val="32"/>
        </w:rPr>
        <w:t>万元，增长（下降）</w:t>
      </w:r>
      <w:r>
        <w:rPr>
          <w:rFonts w:hint="eastAsia" w:ascii="仿宋_GB2312" w:hAnsi="ˎ̥" w:eastAsia="仿宋_GB2312"/>
          <w:color w:val="auto"/>
          <w:sz w:val="32"/>
          <w:szCs w:val="32"/>
          <w:lang w:val="en-US" w:eastAsia="zh-CN"/>
        </w:rPr>
        <w:t>403.03</w:t>
      </w:r>
      <w:r>
        <w:rPr>
          <w:rFonts w:hint="eastAsia" w:ascii="仿宋_GB2312" w:hAnsi="ˎ̥" w:eastAsia="仿宋_GB2312"/>
          <w:color w:val="auto"/>
          <w:sz w:val="32"/>
          <w:szCs w:val="32"/>
        </w:rPr>
        <w:t>%，主要原因：2025年减少弄利措水库工程资金及专项债券转贷支出。</w:t>
      </w:r>
    </w:p>
    <w:p w14:paraId="0E03813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财政拨款年初结转结余</w:t>
      </w:r>
      <w:r>
        <w:rPr>
          <w:rFonts w:hint="eastAsia" w:ascii="仿宋_GB2312" w:hAnsi="ˎ̥" w:eastAsia="仿宋_GB2312"/>
          <w:color w:val="auto"/>
          <w:sz w:val="32"/>
          <w:szCs w:val="32"/>
          <w:lang w:val="en-US" w:eastAsia="zh-CN"/>
        </w:rPr>
        <w:t>4.49</w:t>
      </w:r>
      <w:r>
        <w:rPr>
          <w:rFonts w:hint="eastAsia" w:ascii="仿宋_GB2312" w:hAnsi="ˎ̥" w:eastAsia="仿宋_GB2312"/>
          <w:color w:val="auto"/>
          <w:sz w:val="32"/>
          <w:szCs w:val="32"/>
        </w:rPr>
        <w:t>万元，主要是</w:t>
      </w:r>
      <w:r>
        <w:rPr>
          <w:rFonts w:hint="eastAsia" w:ascii="仿宋_GB2312" w:hAnsi="ˎ̥" w:eastAsia="仿宋_GB2312"/>
          <w:color w:val="auto"/>
          <w:sz w:val="32"/>
          <w:szCs w:val="32"/>
          <w:lang w:eastAsia="zh-CN"/>
        </w:rPr>
        <w:t>援藏资金结转</w:t>
      </w:r>
      <w:r>
        <w:rPr>
          <w:rFonts w:hint="eastAsia" w:ascii="仿宋_GB2312" w:hAnsi="ˎ̥" w:eastAsia="仿宋_GB2312"/>
          <w:color w:val="auto"/>
          <w:sz w:val="32"/>
          <w:szCs w:val="32"/>
        </w:rPr>
        <w:t>，较</w:t>
      </w: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年度决算数增加</w:t>
      </w:r>
      <w:r>
        <w:rPr>
          <w:rFonts w:hint="eastAsia" w:ascii="仿宋_GB2312" w:hAnsi="ˎ̥" w:eastAsia="仿宋_GB2312"/>
          <w:color w:val="auto"/>
          <w:sz w:val="32"/>
          <w:szCs w:val="32"/>
          <w:lang w:val="en-US" w:eastAsia="zh-CN"/>
        </w:rPr>
        <w:t>4.49</w:t>
      </w:r>
      <w:r>
        <w:rPr>
          <w:rFonts w:hint="eastAsia" w:ascii="仿宋_GB2312" w:hAnsi="ˎ̥" w:eastAsia="仿宋_GB2312"/>
          <w:color w:val="auto"/>
          <w:sz w:val="32"/>
          <w:szCs w:val="32"/>
        </w:rPr>
        <w:t>万元，增长</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%，主要原因是</w:t>
      </w:r>
      <w:r>
        <w:rPr>
          <w:rFonts w:hint="eastAsia" w:ascii="仿宋_GB2312" w:hAnsi="ˎ̥" w:eastAsia="仿宋_GB2312"/>
          <w:color w:val="auto"/>
          <w:sz w:val="32"/>
          <w:szCs w:val="32"/>
          <w:lang w:eastAsia="zh-CN"/>
        </w:rPr>
        <w:t>援藏资金结转</w:t>
      </w:r>
      <w:r>
        <w:rPr>
          <w:rFonts w:hint="eastAsia" w:ascii="仿宋_GB2312" w:hAnsi="ˎ̥" w:eastAsia="仿宋_GB2312"/>
          <w:color w:val="auto"/>
          <w:sz w:val="32"/>
          <w:szCs w:val="32"/>
        </w:rPr>
        <w:t>。</w:t>
      </w:r>
    </w:p>
    <w:p w14:paraId="0B93E50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财政拨款年末结转结余</w:t>
      </w:r>
      <w:r>
        <w:rPr>
          <w:rFonts w:hint="default" w:ascii="仿宋_GB2312" w:hAnsi="ˎ̥" w:eastAsia="仿宋_GB2312"/>
          <w:color w:val="auto"/>
          <w:sz w:val="32"/>
          <w:szCs w:val="32"/>
          <w:lang w:val="en-US"/>
        </w:rPr>
        <w:t>0.00</w:t>
      </w:r>
      <w:r>
        <w:rPr>
          <w:rFonts w:hint="eastAsia" w:ascii="仿宋_GB2312" w:hAnsi="ˎ̥" w:eastAsia="仿宋_GB2312"/>
          <w:color w:val="auto"/>
          <w:sz w:val="32"/>
          <w:szCs w:val="32"/>
        </w:rPr>
        <w:t>万元，较</w:t>
      </w: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年度决算数减少</w:t>
      </w:r>
      <w:r>
        <w:rPr>
          <w:rFonts w:hint="eastAsia" w:ascii="仿宋_GB2312" w:hAnsi="ˎ̥" w:eastAsia="仿宋_GB2312"/>
          <w:color w:val="auto"/>
          <w:sz w:val="32"/>
          <w:szCs w:val="32"/>
          <w:lang w:val="en-US" w:eastAsia="zh-CN"/>
        </w:rPr>
        <w:t>4.49</w:t>
      </w:r>
      <w:r>
        <w:rPr>
          <w:rFonts w:hint="eastAsia" w:ascii="仿宋_GB2312" w:hAnsi="ˎ̥" w:eastAsia="仿宋_GB2312"/>
          <w:color w:val="auto"/>
          <w:sz w:val="32"/>
          <w:szCs w:val="32"/>
        </w:rPr>
        <w:t>万元，下降</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%，主要原因是</w:t>
      </w:r>
      <w:r>
        <w:rPr>
          <w:rFonts w:hint="eastAsia" w:ascii="仿宋_GB2312" w:hAnsi="ˎ̥" w:eastAsia="仿宋_GB2312"/>
          <w:color w:val="auto"/>
          <w:sz w:val="32"/>
          <w:szCs w:val="32"/>
          <w:lang w:eastAsia="zh-CN"/>
        </w:rPr>
        <w:t>无结转</w:t>
      </w:r>
      <w:r>
        <w:rPr>
          <w:rFonts w:hint="eastAsia" w:ascii="仿宋_GB2312" w:hAnsi="ˎ̥" w:eastAsia="仿宋_GB2312"/>
          <w:color w:val="auto"/>
          <w:sz w:val="32"/>
          <w:szCs w:val="32"/>
        </w:rPr>
        <w:t>。</w:t>
      </w:r>
    </w:p>
    <w:p w14:paraId="427D34B5">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14:paraId="129FB53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0" w:name="_Toc9989_WPSOffice_Level2"/>
      <w:bookmarkStart w:id="81" w:name="_Toc23005_WPSOffice_Level2"/>
      <w:bookmarkStart w:id="82" w:name="_Toc17398_WPSOffice_Level2"/>
      <w:bookmarkStart w:id="83" w:name="_Toc13694_WPSOffice_Level2"/>
      <w:bookmarkStart w:id="84" w:name="_Toc21737_WPSOffice_Level2"/>
      <w:bookmarkStart w:id="85" w:name="_Toc19665_WPSOffice_Level2"/>
      <w:r>
        <w:rPr>
          <w:rFonts w:hint="eastAsia" w:ascii="楷体" w:hAnsi="楷体" w:eastAsia="楷体" w:cs="楷体"/>
          <w:color w:val="auto"/>
          <w:sz w:val="32"/>
          <w:szCs w:val="32"/>
        </w:rPr>
        <w:t>（一）一般公共预算财政拨款支出决算总体情况</w:t>
      </w:r>
      <w:bookmarkEnd w:id="80"/>
      <w:bookmarkEnd w:id="81"/>
      <w:bookmarkEnd w:id="82"/>
      <w:bookmarkEnd w:id="83"/>
      <w:bookmarkEnd w:id="84"/>
      <w:bookmarkEnd w:id="85"/>
    </w:p>
    <w:p w14:paraId="001E9BA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default" w:ascii="仿宋_GB2312" w:hAnsi="ˎ̥" w:eastAsia="仿宋_GB2312"/>
          <w:color w:val="auto"/>
          <w:sz w:val="32"/>
          <w:szCs w:val="32"/>
          <w:lang w:val="en-US"/>
        </w:rPr>
        <w:t>2025</w:t>
      </w:r>
      <w:r>
        <w:rPr>
          <w:rFonts w:hint="eastAsia" w:ascii="仿宋_GB2312" w:hAnsi="ˎ̥" w:eastAsia="仿宋_GB2312"/>
          <w:color w:val="auto"/>
          <w:sz w:val="32"/>
          <w:szCs w:val="32"/>
        </w:rPr>
        <w:t>年度一般公共预算财政拨款支出</w:t>
      </w:r>
      <w:r>
        <w:rPr>
          <w:rFonts w:hint="default" w:ascii="仿宋_GB2312" w:hAnsi="ˎ̥" w:eastAsia="仿宋_GB2312"/>
          <w:color w:val="auto"/>
          <w:sz w:val="32"/>
          <w:szCs w:val="32"/>
          <w:lang w:val="en-US"/>
        </w:rPr>
        <w:t>3,529.46</w:t>
      </w:r>
      <w:r>
        <w:rPr>
          <w:rFonts w:hint="eastAsia" w:ascii="仿宋_GB2312" w:hAnsi="ˎ̥" w:eastAsia="仿宋_GB2312"/>
          <w:color w:val="auto"/>
          <w:sz w:val="32"/>
          <w:szCs w:val="32"/>
        </w:rPr>
        <w:t>万元，占本年支出合计的</w:t>
      </w:r>
      <w:r>
        <w:rPr>
          <w:rFonts w:hint="eastAsia" w:ascii="仿宋_GB2312" w:hAnsi="ˎ̥" w:eastAsia="仿宋_GB2312"/>
          <w:color w:val="auto"/>
          <w:sz w:val="32"/>
          <w:szCs w:val="32"/>
          <w:lang w:val="en-US" w:eastAsia="zh-CN"/>
        </w:rPr>
        <w:t>63.23</w:t>
      </w:r>
      <w:r>
        <w:rPr>
          <w:rFonts w:hint="eastAsia" w:ascii="仿宋_GB2312" w:hAnsi="ˎ̥" w:eastAsia="仿宋_GB2312"/>
          <w:color w:val="auto"/>
          <w:sz w:val="32"/>
          <w:szCs w:val="32"/>
        </w:rPr>
        <w:t>%。与</w:t>
      </w: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年度相比，一般公共预算财政拨款支出减少</w:t>
      </w:r>
      <w:r>
        <w:rPr>
          <w:rFonts w:hint="eastAsia" w:ascii="仿宋_GB2312" w:hAnsi="ˎ̥" w:eastAsia="仿宋_GB2312"/>
          <w:color w:val="auto"/>
          <w:sz w:val="32"/>
          <w:szCs w:val="32"/>
          <w:lang w:val="en-US" w:eastAsia="zh-CN"/>
        </w:rPr>
        <w:t>21112.12</w:t>
      </w:r>
      <w:r>
        <w:rPr>
          <w:rFonts w:hint="eastAsia" w:ascii="仿宋_GB2312" w:hAnsi="ˎ̥" w:eastAsia="仿宋_GB2312"/>
          <w:color w:val="auto"/>
          <w:sz w:val="32"/>
          <w:szCs w:val="32"/>
        </w:rPr>
        <w:t>万元，下降</w:t>
      </w:r>
      <w:r>
        <w:rPr>
          <w:rFonts w:hint="eastAsia" w:ascii="仿宋_GB2312" w:hAnsi="ˎ̥" w:eastAsia="仿宋_GB2312"/>
          <w:color w:val="auto"/>
          <w:sz w:val="32"/>
          <w:szCs w:val="32"/>
          <w:lang w:val="en-US" w:eastAsia="zh-CN"/>
        </w:rPr>
        <w:t>598.16</w:t>
      </w:r>
      <w:r>
        <w:rPr>
          <w:rFonts w:hint="eastAsia" w:ascii="仿宋_GB2312" w:hAnsi="ˎ̥" w:eastAsia="仿宋_GB2312"/>
          <w:color w:val="auto"/>
          <w:sz w:val="32"/>
          <w:szCs w:val="32"/>
        </w:rPr>
        <w:t>%，主要原因是</w:t>
      </w:r>
      <w:r>
        <w:rPr>
          <w:rFonts w:hint="eastAsia" w:ascii="仿宋_GB2312" w:hAnsi="ˎ̥" w:eastAsia="仿宋_GB2312"/>
          <w:color w:val="auto"/>
          <w:sz w:val="32"/>
          <w:szCs w:val="32"/>
          <w:lang w:eastAsia="zh-CN"/>
        </w:rPr>
        <w:t>减少弄利措水库工程资金</w:t>
      </w:r>
      <w:r>
        <w:rPr>
          <w:rFonts w:hint="eastAsia" w:ascii="仿宋_GB2312" w:hAnsi="ˎ̥" w:eastAsia="仿宋_GB2312"/>
          <w:color w:val="auto"/>
          <w:sz w:val="32"/>
          <w:szCs w:val="32"/>
        </w:rPr>
        <w:t>。</w:t>
      </w:r>
    </w:p>
    <w:p w14:paraId="570C1A5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6" w:name="_Toc19075_WPSOffice_Level2"/>
      <w:bookmarkStart w:id="87" w:name="_Toc18793_WPSOffice_Level2"/>
      <w:bookmarkStart w:id="88" w:name="_Toc23864_WPSOffice_Level2"/>
      <w:bookmarkStart w:id="89" w:name="_Toc19535_WPSOffice_Level2"/>
      <w:bookmarkStart w:id="90" w:name="_Toc2711_WPSOffice_Level2"/>
      <w:bookmarkStart w:id="91" w:name="_Toc27767_WPSOffice_Level2"/>
      <w:r>
        <w:rPr>
          <w:rFonts w:hint="eastAsia" w:ascii="楷体" w:hAnsi="楷体" w:eastAsia="楷体" w:cs="楷体"/>
          <w:color w:val="auto"/>
          <w:sz w:val="32"/>
          <w:szCs w:val="32"/>
        </w:rPr>
        <w:t>（二）一般公共预算财政拨款支出决算结构情况</w:t>
      </w:r>
      <w:bookmarkEnd w:id="86"/>
      <w:bookmarkEnd w:id="87"/>
      <w:bookmarkEnd w:id="88"/>
      <w:bookmarkEnd w:id="89"/>
      <w:bookmarkEnd w:id="90"/>
      <w:bookmarkEnd w:id="91"/>
    </w:p>
    <w:p w14:paraId="300F4B2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default" w:ascii="仿宋_GB2312" w:hAnsi="ˎ̥" w:eastAsia="仿宋_GB2312"/>
          <w:color w:val="auto"/>
          <w:sz w:val="32"/>
          <w:szCs w:val="32"/>
          <w:lang w:val="en-US"/>
        </w:rPr>
        <w:t>2025</w:t>
      </w:r>
      <w:r>
        <w:rPr>
          <w:rFonts w:hint="eastAsia" w:ascii="仿宋_GB2312" w:hAnsi="ˎ̥" w:eastAsia="仿宋_GB2312"/>
          <w:color w:val="auto"/>
          <w:sz w:val="32"/>
          <w:szCs w:val="32"/>
        </w:rPr>
        <w:t>年度一般公共预算财政拨款支出</w:t>
      </w:r>
      <w:r>
        <w:rPr>
          <w:rFonts w:hint="default" w:ascii="仿宋_GB2312" w:hAnsi="ˎ̥" w:eastAsia="仿宋_GB2312"/>
          <w:color w:val="auto"/>
          <w:sz w:val="32"/>
          <w:szCs w:val="32"/>
          <w:lang w:val="en-US"/>
        </w:rPr>
        <w:t>3,529.46</w:t>
      </w:r>
      <w:r>
        <w:rPr>
          <w:rFonts w:hint="eastAsia" w:ascii="仿宋_GB2312" w:hAnsi="ˎ̥" w:eastAsia="仿宋_GB2312"/>
          <w:color w:val="auto"/>
          <w:sz w:val="32"/>
          <w:szCs w:val="32"/>
        </w:rPr>
        <w:t>万元，主要用于以下方面：</w:t>
      </w:r>
      <w:r>
        <w:rPr>
          <w:rFonts w:hint="eastAsia" w:ascii="仿宋_GB2312" w:hAnsi="ˎ̥" w:eastAsia="仿宋_GB2312"/>
          <w:b/>
          <w:color w:val="auto"/>
          <w:sz w:val="32"/>
          <w:szCs w:val="32"/>
        </w:rPr>
        <w:t>一般公共服务（类）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2961.05</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83.9</w:t>
      </w:r>
      <w:r>
        <w:rPr>
          <w:rFonts w:hint="eastAsia" w:ascii="仿宋_GB2312" w:hAnsi="ˎ̥" w:eastAsia="仿宋_GB2312"/>
          <w:color w:val="auto"/>
          <w:sz w:val="32"/>
          <w:szCs w:val="32"/>
        </w:rPr>
        <w:t>%；</w:t>
      </w:r>
      <w:r>
        <w:rPr>
          <w:rFonts w:hint="eastAsia" w:ascii="仿宋_GB2312" w:hAnsi="ˎ̥" w:eastAsia="仿宋_GB2312"/>
          <w:b/>
          <w:color w:val="auto"/>
          <w:sz w:val="32"/>
          <w:szCs w:val="32"/>
        </w:rPr>
        <w:t>社会保障和就业（类）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412.06</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11.67</w:t>
      </w:r>
      <w:r>
        <w:rPr>
          <w:rFonts w:hint="eastAsia" w:ascii="仿宋_GB2312" w:hAnsi="ˎ̥" w:eastAsia="仿宋_GB2312"/>
          <w:color w:val="auto"/>
          <w:sz w:val="32"/>
          <w:szCs w:val="32"/>
        </w:rPr>
        <w:t>%；</w:t>
      </w:r>
      <w:r>
        <w:rPr>
          <w:rFonts w:hint="eastAsia" w:ascii="仿宋_GB2312" w:hAnsi="ˎ̥" w:eastAsia="仿宋_GB2312"/>
          <w:b/>
          <w:bCs/>
          <w:color w:val="auto"/>
          <w:sz w:val="32"/>
          <w:szCs w:val="32"/>
        </w:rPr>
        <w:t>住房保障（类）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156.35</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4.43</w:t>
      </w:r>
      <w:r>
        <w:rPr>
          <w:rFonts w:hint="eastAsia" w:ascii="仿宋_GB2312" w:hAnsi="ˎ̥" w:eastAsia="仿宋_GB2312"/>
          <w:color w:val="auto"/>
          <w:sz w:val="32"/>
          <w:szCs w:val="32"/>
        </w:rPr>
        <w:t>%。</w:t>
      </w:r>
    </w:p>
    <w:p w14:paraId="6E191BE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92" w:name="_Toc21701_WPSOffice_Level2"/>
      <w:bookmarkStart w:id="93" w:name="_Toc29364_WPSOffice_Level2"/>
      <w:bookmarkStart w:id="94" w:name="_Toc22318_WPSOffice_Level2"/>
      <w:bookmarkStart w:id="95" w:name="_Toc25136_WPSOffice_Level2"/>
      <w:bookmarkStart w:id="96" w:name="_Toc9502_WPSOffice_Level2"/>
      <w:bookmarkStart w:id="97" w:name="_Toc15415_WPSOffice_Level2"/>
      <w:r>
        <w:rPr>
          <w:rFonts w:hint="eastAsia" w:ascii="楷体" w:hAnsi="楷体" w:eastAsia="楷体" w:cs="楷体"/>
          <w:color w:val="auto"/>
          <w:sz w:val="32"/>
          <w:szCs w:val="32"/>
        </w:rPr>
        <w:t>（三）一般公共预算财政拨款支出决算具体情况</w:t>
      </w:r>
      <w:bookmarkEnd w:id="92"/>
      <w:bookmarkEnd w:id="93"/>
      <w:bookmarkEnd w:id="94"/>
      <w:bookmarkEnd w:id="95"/>
      <w:bookmarkEnd w:id="96"/>
      <w:bookmarkEnd w:id="97"/>
    </w:p>
    <w:p w14:paraId="0C7009F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default" w:ascii="仿宋_GB2312" w:hAnsi="ˎ̥" w:eastAsia="仿宋_GB2312"/>
          <w:color w:val="auto"/>
          <w:sz w:val="32"/>
          <w:szCs w:val="32"/>
          <w:lang w:val="en-US"/>
        </w:rPr>
        <w:t>2025</w:t>
      </w:r>
      <w:r>
        <w:rPr>
          <w:rFonts w:hint="eastAsia" w:ascii="仿宋_GB2312" w:hAnsi="ˎ̥" w:eastAsia="仿宋_GB2312"/>
          <w:color w:val="auto"/>
          <w:sz w:val="32"/>
          <w:szCs w:val="32"/>
        </w:rPr>
        <w:t>年度一般公共预算财政拨款支出年初预算为</w:t>
      </w:r>
      <w:r>
        <w:rPr>
          <w:rFonts w:hint="eastAsia" w:ascii="仿宋_GB2312" w:hAnsi="ˎ̥" w:eastAsia="仿宋_GB2312"/>
          <w:color w:val="auto"/>
          <w:sz w:val="32"/>
          <w:szCs w:val="32"/>
          <w:lang w:val="en-US" w:eastAsia="zh-CN"/>
        </w:rPr>
        <w:t>3529.46</w:t>
      </w:r>
      <w:r>
        <w:rPr>
          <w:rFonts w:hint="eastAsia" w:ascii="仿宋_GB2312" w:hAnsi="ˎ̥" w:eastAsia="仿宋_GB2312"/>
          <w:color w:val="auto"/>
          <w:sz w:val="32"/>
          <w:szCs w:val="32"/>
        </w:rPr>
        <w:t>万元，支出决算为</w:t>
      </w:r>
      <w:r>
        <w:rPr>
          <w:rFonts w:hint="default" w:ascii="仿宋_GB2312" w:hAnsi="ˎ̥" w:eastAsia="仿宋_GB2312"/>
          <w:color w:val="auto"/>
          <w:sz w:val="32"/>
          <w:szCs w:val="32"/>
          <w:lang w:val="en-US"/>
        </w:rPr>
        <w:t>3,529.46</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%。其中：</w:t>
      </w:r>
    </w:p>
    <w:p w14:paraId="7270EF2A">
      <w:pPr>
        <w:numPr>
          <w:ilvl w:val="0"/>
          <w:numId w:val="4"/>
        </w:numPr>
        <w:spacing w:line="578" w:lineRule="exact"/>
        <w:ind w:firstLine="643" w:firstLineChars="200"/>
        <w:rPr>
          <w:rFonts w:hint="eastAsia" w:ascii="仿宋_GB2312" w:hAnsi="ˎ̥" w:eastAsia="仿宋_GB2312"/>
          <w:color w:val="auto"/>
          <w:sz w:val="32"/>
          <w:szCs w:val="32"/>
          <w:lang w:val="en-US" w:eastAsia="zh-CN"/>
        </w:rPr>
      </w:pPr>
      <w:r>
        <w:rPr>
          <w:rFonts w:hint="eastAsia" w:ascii="仿宋_GB2312" w:hAnsi="ˎ̥" w:eastAsia="仿宋_GB2312"/>
          <w:b/>
          <w:color w:val="auto"/>
          <w:sz w:val="32"/>
          <w:szCs w:val="32"/>
        </w:rPr>
        <w:t>社会保障和就业支出（类）行政事业单位养老支出（款）机关事业单位基本养老保险缴费支出（项）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195.87</w:t>
      </w:r>
      <w:r>
        <w:rPr>
          <w:rFonts w:hint="eastAsia" w:ascii="仿宋_GB2312" w:hAnsi="ˎ̥" w:eastAsia="仿宋_GB2312"/>
          <w:color w:val="auto"/>
          <w:sz w:val="32"/>
          <w:szCs w:val="32"/>
        </w:rPr>
        <w:t>元，支出决算为</w:t>
      </w:r>
      <w:r>
        <w:rPr>
          <w:rFonts w:hint="eastAsia" w:ascii="仿宋_GB2312" w:hAnsi="ˎ̥" w:eastAsia="仿宋_GB2312"/>
          <w:color w:val="auto"/>
          <w:sz w:val="32"/>
          <w:szCs w:val="32"/>
          <w:lang w:val="en-US" w:eastAsia="zh-CN"/>
        </w:rPr>
        <w:t>195.87</w:t>
      </w:r>
      <w:r>
        <w:rPr>
          <w:rFonts w:hint="eastAsia" w:ascii="仿宋_GB2312" w:hAnsi="ˎ̥" w:eastAsia="仿宋_GB2312"/>
          <w:color w:val="auto"/>
          <w:sz w:val="32"/>
          <w:szCs w:val="32"/>
          <w:lang w:eastAsia="zh-CN"/>
        </w:rPr>
        <w:t>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77810390">
      <w:pPr>
        <w:numPr>
          <w:ilvl w:val="0"/>
          <w:numId w:val="4"/>
        </w:numPr>
        <w:spacing w:line="578" w:lineRule="exact"/>
        <w:ind w:firstLine="643" w:firstLineChars="200"/>
        <w:rPr>
          <w:rFonts w:hint="eastAsia" w:ascii="仿宋_GB2312" w:hAnsi="ˎ̥" w:eastAsia="仿宋_GB2312"/>
          <w:color w:val="auto"/>
          <w:sz w:val="32"/>
          <w:szCs w:val="32"/>
          <w:lang w:val="en-US" w:eastAsia="zh-CN"/>
        </w:rPr>
      </w:pPr>
      <w:r>
        <w:rPr>
          <w:rFonts w:hint="eastAsia" w:ascii="仿宋_GB2312" w:hAnsi="ˎ̥" w:eastAsia="仿宋_GB2312"/>
          <w:b/>
          <w:color w:val="auto"/>
          <w:sz w:val="32"/>
          <w:szCs w:val="32"/>
        </w:rPr>
        <w:t>社会保障和就业支出（类）行政事业单位</w:t>
      </w:r>
      <w:r>
        <w:rPr>
          <w:rFonts w:hint="eastAsia" w:ascii="仿宋_GB2312" w:hAnsi="ˎ̥" w:eastAsia="仿宋_GB2312"/>
          <w:b/>
          <w:color w:val="auto"/>
          <w:sz w:val="32"/>
          <w:szCs w:val="32"/>
          <w:lang w:eastAsia="zh-CN"/>
        </w:rPr>
        <w:t>其他社保</w:t>
      </w:r>
      <w:r>
        <w:rPr>
          <w:rFonts w:hint="eastAsia" w:ascii="仿宋_GB2312" w:hAnsi="ˎ̥" w:eastAsia="仿宋_GB2312"/>
          <w:b/>
          <w:color w:val="auto"/>
          <w:sz w:val="32"/>
          <w:szCs w:val="32"/>
        </w:rPr>
        <w:t>支出（款）</w:t>
      </w:r>
      <w:r>
        <w:rPr>
          <w:rFonts w:hint="eastAsia" w:ascii="仿宋_GB2312" w:hAnsi="ˎ̥" w:eastAsia="仿宋_GB2312"/>
          <w:b/>
          <w:color w:val="auto"/>
          <w:sz w:val="32"/>
          <w:szCs w:val="32"/>
          <w:lang w:eastAsia="zh-CN"/>
        </w:rPr>
        <w:t>其他人力资源和社会保障管理事务</w:t>
      </w:r>
      <w:r>
        <w:rPr>
          <w:rFonts w:hint="eastAsia" w:ascii="仿宋_GB2312" w:hAnsi="ˎ̥" w:eastAsia="仿宋_GB2312"/>
          <w:b/>
          <w:color w:val="auto"/>
          <w:sz w:val="32"/>
          <w:szCs w:val="32"/>
        </w:rPr>
        <w:t>支出（项）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19.09万元</w:t>
      </w:r>
      <w:r>
        <w:rPr>
          <w:rFonts w:hint="eastAsia" w:ascii="仿宋_GB2312" w:hAnsi="ˎ̥" w:eastAsia="仿宋_GB2312"/>
          <w:color w:val="auto"/>
          <w:sz w:val="32"/>
          <w:szCs w:val="32"/>
        </w:rPr>
        <w:t>，支出决算为</w:t>
      </w:r>
      <w:r>
        <w:rPr>
          <w:rFonts w:hint="eastAsia" w:ascii="仿宋_GB2312" w:hAnsi="ˎ̥" w:eastAsia="仿宋_GB2312"/>
          <w:color w:val="auto"/>
          <w:sz w:val="32"/>
          <w:szCs w:val="32"/>
          <w:lang w:val="en-US" w:eastAsia="zh-CN"/>
        </w:rPr>
        <w:t>19.09</w:t>
      </w:r>
      <w:r>
        <w:rPr>
          <w:rFonts w:hint="eastAsia" w:ascii="仿宋_GB2312" w:hAnsi="ˎ̥" w:eastAsia="仿宋_GB2312"/>
          <w:color w:val="auto"/>
          <w:sz w:val="32"/>
          <w:szCs w:val="32"/>
          <w:lang w:eastAsia="zh-CN"/>
        </w:rPr>
        <w:t>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6F9C3813">
      <w:pPr>
        <w:numPr>
          <w:ilvl w:val="0"/>
          <w:numId w:val="0"/>
        </w:numPr>
        <w:spacing w:line="578" w:lineRule="exact"/>
        <w:ind w:firstLine="643" w:firstLineChars="200"/>
        <w:rPr>
          <w:rFonts w:hint="eastAsia" w:ascii="仿宋_GB2312" w:hAnsi="ˎ̥" w:eastAsia="仿宋_GB2312"/>
          <w:color w:val="auto"/>
          <w:sz w:val="32"/>
          <w:szCs w:val="32"/>
          <w:lang w:val="en-US" w:eastAsia="zh-CN"/>
        </w:rPr>
      </w:pPr>
      <w:r>
        <w:rPr>
          <w:rFonts w:hint="eastAsia" w:ascii="仿宋_GB2312" w:hAnsi="ˎ̥" w:eastAsia="仿宋_GB2312"/>
          <w:b/>
          <w:color w:val="auto"/>
          <w:sz w:val="32"/>
          <w:szCs w:val="32"/>
          <w:lang w:val="en-US" w:eastAsia="zh-CN"/>
        </w:rPr>
        <w:t>3.</w:t>
      </w:r>
      <w:r>
        <w:rPr>
          <w:rFonts w:hint="eastAsia" w:ascii="仿宋_GB2312" w:hAnsi="ˎ̥" w:eastAsia="仿宋_GB2312"/>
          <w:b/>
          <w:color w:val="auto"/>
          <w:sz w:val="32"/>
          <w:szCs w:val="32"/>
        </w:rPr>
        <w:t>社会保障和就业支出（类）</w:t>
      </w:r>
      <w:r>
        <w:rPr>
          <w:rFonts w:hint="eastAsia" w:ascii="仿宋_GB2312" w:hAnsi="ˎ̥" w:eastAsia="仿宋_GB2312"/>
          <w:b/>
          <w:color w:val="auto"/>
          <w:sz w:val="32"/>
          <w:szCs w:val="32"/>
          <w:lang w:eastAsia="zh-CN"/>
        </w:rPr>
        <w:t>就业补助</w:t>
      </w:r>
      <w:r>
        <w:rPr>
          <w:rFonts w:hint="eastAsia" w:ascii="仿宋_GB2312" w:hAnsi="ˎ̥" w:eastAsia="仿宋_GB2312"/>
          <w:b/>
          <w:color w:val="auto"/>
          <w:sz w:val="32"/>
          <w:szCs w:val="32"/>
        </w:rPr>
        <w:t>支出（款）</w:t>
      </w:r>
      <w:r>
        <w:rPr>
          <w:rFonts w:hint="eastAsia" w:ascii="仿宋_GB2312" w:hAnsi="ˎ̥" w:eastAsia="仿宋_GB2312"/>
          <w:b/>
          <w:color w:val="auto"/>
          <w:sz w:val="32"/>
          <w:szCs w:val="32"/>
          <w:lang w:eastAsia="zh-CN"/>
        </w:rPr>
        <w:t>公益性岗位补贴</w:t>
      </w:r>
      <w:r>
        <w:rPr>
          <w:rFonts w:hint="eastAsia" w:ascii="仿宋_GB2312" w:hAnsi="ˎ̥" w:eastAsia="仿宋_GB2312"/>
          <w:b/>
          <w:color w:val="auto"/>
          <w:sz w:val="32"/>
          <w:szCs w:val="32"/>
        </w:rPr>
        <w:t>支出（项）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85.52万元</w:t>
      </w:r>
      <w:r>
        <w:rPr>
          <w:rFonts w:hint="eastAsia" w:ascii="仿宋_GB2312" w:hAnsi="ˎ̥" w:eastAsia="仿宋_GB2312"/>
          <w:color w:val="auto"/>
          <w:sz w:val="32"/>
          <w:szCs w:val="32"/>
        </w:rPr>
        <w:t>，支出决算为</w:t>
      </w:r>
      <w:r>
        <w:rPr>
          <w:rFonts w:hint="eastAsia" w:ascii="仿宋_GB2312" w:hAnsi="ˎ̥" w:eastAsia="仿宋_GB2312"/>
          <w:color w:val="auto"/>
          <w:sz w:val="32"/>
          <w:szCs w:val="32"/>
          <w:lang w:val="en-US" w:eastAsia="zh-CN"/>
        </w:rPr>
        <w:t>85.52</w:t>
      </w:r>
      <w:r>
        <w:rPr>
          <w:rFonts w:hint="eastAsia" w:ascii="仿宋_GB2312" w:hAnsi="ˎ̥" w:eastAsia="仿宋_GB2312"/>
          <w:color w:val="auto"/>
          <w:sz w:val="32"/>
          <w:szCs w:val="32"/>
          <w:lang w:eastAsia="zh-CN"/>
        </w:rPr>
        <w:t>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7E0E2F60">
      <w:pPr>
        <w:numPr>
          <w:ilvl w:val="0"/>
          <w:numId w:val="0"/>
        </w:numPr>
        <w:spacing w:line="578" w:lineRule="exact"/>
        <w:ind w:firstLine="640" w:firstLineChars="200"/>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4.</w:t>
      </w:r>
      <w:r>
        <w:rPr>
          <w:rFonts w:hint="eastAsia" w:ascii="仿宋_GB2312" w:hAnsi="ˎ̥" w:eastAsia="仿宋_GB2312"/>
          <w:b/>
          <w:color w:val="auto"/>
          <w:sz w:val="32"/>
          <w:szCs w:val="32"/>
        </w:rPr>
        <w:t>卫生健康支出（类）行政事业单位医疗（款）行政单位医疗（项）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96.76万</w:t>
      </w:r>
      <w:r>
        <w:rPr>
          <w:rFonts w:hint="eastAsia" w:ascii="仿宋_GB2312" w:hAnsi="ˎ̥" w:eastAsia="仿宋_GB2312"/>
          <w:color w:val="auto"/>
          <w:sz w:val="32"/>
          <w:szCs w:val="32"/>
        </w:rPr>
        <w:t>元，支出决算为</w:t>
      </w:r>
      <w:r>
        <w:rPr>
          <w:rFonts w:hint="eastAsia" w:ascii="仿宋_GB2312" w:hAnsi="ˎ̥" w:eastAsia="仿宋_GB2312"/>
          <w:color w:val="auto"/>
          <w:sz w:val="32"/>
          <w:szCs w:val="32"/>
          <w:lang w:val="en-US" w:eastAsia="zh-CN"/>
        </w:rPr>
        <w:t>96.76万元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3E9DBDB2">
      <w:pPr>
        <w:spacing w:line="578" w:lineRule="exact"/>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lang w:val="en-US" w:eastAsia="zh-CN"/>
        </w:rPr>
        <w:t>5.</w:t>
      </w:r>
      <w:r>
        <w:rPr>
          <w:rFonts w:hint="eastAsia" w:ascii="仿宋_GB2312" w:hAnsi="ˎ̥" w:eastAsia="仿宋_GB2312"/>
          <w:b/>
          <w:color w:val="auto"/>
          <w:sz w:val="32"/>
          <w:szCs w:val="32"/>
        </w:rPr>
        <w:t>卫生健康支出（类）行政事业单位医疗（款）公务员医疗补助（项）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14.82万元</w:t>
      </w:r>
      <w:r>
        <w:rPr>
          <w:rFonts w:hint="eastAsia" w:ascii="仿宋_GB2312" w:hAnsi="ˎ̥" w:eastAsia="仿宋_GB2312"/>
          <w:color w:val="auto"/>
          <w:sz w:val="32"/>
          <w:szCs w:val="32"/>
        </w:rPr>
        <w:t>，支出决算为</w:t>
      </w:r>
      <w:r>
        <w:rPr>
          <w:rFonts w:hint="eastAsia" w:ascii="仿宋_GB2312" w:hAnsi="ˎ̥" w:eastAsia="仿宋_GB2312"/>
          <w:color w:val="auto"/>
          <w:sz w:val="32"/>
          <w:szCs w:val="32"/>
          <w:lang w:val="en-US" w:eastAsia="zh-CN"/>
        </w:rPr>
        <w:t>14.82万</w:t>
      </w:r>
      <w:r>
        <w:rPr>
          <w:rFonts w:hint="eastAsia" w:ascii="仿宋_GB2312" w:hAnsi="ˎ̥" w:eastAsia="仿宋_GB2312"/>
          <w:color w:val="auto"/>
          <w:sz w:val="32"/>
          <w:szCs w:val="32"/>
        </w:rPr>
        <w:t>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484C372A">
      <w:pPr>
        <w:spacing w:line="578" w:lineRule="exact"/>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lang w:val="en-US" w:eastAsia="zh-CN"/>
        </w:rPr>
        <w:t>6.</w:t>
      </w:r>
      <w:r>
        <w:rPr>
          <w:rFonts w:hint="eastAsia" w:ascii="仿宋_GB2312" w:hAnsi="ˎ̥" w:eastAsia="仿宋_GB2312"/>
          <w:b/>
          <w:bCs/>
          <w:color w:val="auto"/>
          <w:sz w:val="32"/>
          <w:szCs w:val="32"/>
          <w:lang w:val="en-US" w:eastAsia="zh-CN"/>
        </w:rPr>
        <w:t>农林水支出</w:t>
      </w:r>
      <w:r>
        <w:rPr>
          <w:rFonts w:hint="eastAsia" w:ascii="仿宋_GB2312" w:hAnsi="ˎ̥" w:eastAsia="仿宋_GB2312"/>
          <w:b/>
          <w:color w:val="auto"/>
          <w:sz w:val="32"/>
          <w:szCs w:val="32"/>
        </w:rPr>
        <w:t>（类）水利（款）行政运行（项）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1927.21万元</w:t>
      </w:r>
      <w:r>
        <w:rPr>
          <w:rFonts w:hint="eastAsia" w:ascii="仿宋_GB2312" w:hAnsi="ˎ̥" w:eastAsia="仿宋_GB2312"/>
          <w:color w:val="auto"/>
          <w:sz w:val="32"/>
          <w:szCs w:val="32"/>
        </w:rPr>
        <w:t>，支出决算为</w:t>
      </w:r>
      <w:r>
        <w:rPr>
          <w:rFonts w:hint="eastAsia" w:ascii="仿宋_GB2312" w:hAnsi="ˎ̥" w:eastAsia="仿宋_GB2312"/>
          <w:color w:val="auto"/>
          <w:sz w:val="32"/>
          <w:szCs w:val="32"/>
          <w:lang w:val="en-US" w:eastAsia="zh-CN"/>
        </w:rPr>
        <w:t>1927.21万元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33CAC40B">
      <w:pPr>
        <w:spacing w:line="578" w:lineRule="exact"/>
        <w:ind w:firstLine="640" w:firstLineChars="200"/>
        <w:rPr>
          <w:rFonts w:hint="eastAsia" w:ascii="仿宋_GB2312" w:hAnsi="ˎ̥" w:eastAsia="仿宋_GB2312"/>
          <w:color w:val="auto"/>
          <w:sz w:val="32"/>
          <w:szCs w:val="32"/>
          <w:lang w:eastAsia="zh-CN"/>
        </w:rPr>
      </w:pPr>
      <w:r>
        <w:rPr>
          <w:rFonts w:hint="eastAsia" w:ascii="仿宋_GB2312" w:hAnsi="ˎ̥" w:eastAsia="仿宋_GB2312"/>
          <w:color w:val="auto"/>
          <w:sz w:val="32"/>
          <w:szCs w:val="32"/>
          <w:lang w:val="en-US" w:eastAsia="zh-CN"/>
        </w:rPr>
        <w:t>7.</w:t>
      </w:r>
      <w:r>
        <w:rPr>
          <w:rFonts w:hint="eastAsia" w:ascii="仿宋_GB2312" w:hAnsi="ˎ̥" w:eastAsia="仿宋_GB2312"/>
          <w:b/>
          <w:bCs/>
          <w:color w:val="auto"/>
          <w:sz w:val="32"/>
          <w:szCs w:val="32"/>
          <w:lang w:val="en-US" w:eastAsia="zh-CN"/>
        </w:rPr>
        <w:t>农林水支出</w:t>
      </w:r>
      <w:r>
        <w:rPr>
          <w:rFonts w:hint="eastAsia" w:ascii="仿宋_GB2312" w:hAnsi="ˎ̥" w:eastAsia="仿宋_GB2312"/>
          <w:b/>
          <w:color w:val="auto"/>
          <w:sz w:val="32"/>
          <w:szCs w:val="32"/>
        </w:rPr>
        <w:t>（类）水利（款）一般行政管理事务（项）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34.64万</w:t>
      </w:r>
      <w:r>
        <w:rPr>
          <w:rFonts w:hint="eastAsia" w:ascii="仿宋_GB2312" w:hAnsi="ˎ̥" w:eastAsia="仿宋_GB2312"/>
          <w:color w:val="auto"/>
          <w:sz w:val="32"/>
          <w:szCs w:val="32"/>
        </w:rPr>
        <w:t>元，支出决算为</w:t>
      </w:r>
      <w:r>
        <w:rPr>
          <w:rFonts w:hint="eastAsia" w:ascii="仿宋_GB2312" w:hAnsi="ˎ̥" w:eastAsia="仿宋_GB2312"/>
          <w:color w:val="auto"/>
          <w:sz w:val="32"/>
          <w:szCs w:val="32"/>
          <w:lang w:val="en-US" w:eastAsia="zh-CN"/>
        </w:rPr>
        <w:t>34.64万</w:t>
      </w:r>
      <w:r>
        <w:rPr>
          <w:rFonts w:hint="eastAsia" w:ascii="仿宋_GB2312" w:hAnsi="ˎ̥" w:eastAsia="仿宋_GB2312"/>
          <w:color w:val="auto"/>
          <w:sz w:val="32"/>
          <w:szCs w:val="32"/>
        </w:rPr>
        <w:t>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0B673CC9">
      <w:pPr>
        <w:spacing w:line="578" w:lineRule="exact"/>
        <w:ind w:firstLine="640" w:firstLineChars="200"/>
        <w:rPr>
          <w:rFonts w:hint="eastAsia" w:ascii="仿宋_GB2312" w:hAnsi="ˎ̥" w:eastAsia="仿宋_GB2312"/>
          <w:color w:val="auto"/>
          <w:sz w:val="32"/>
          <w:szCs w:val="32"/>
          <w:lang w:eastAsia="zh-CN"/>
        </w:rPr>
      </w:pPr>
      <w:r>
        <w:rPr>
          <w:rFonts w:hint="eastAsia" w:ascii="仿宋_GB2312" w:hAnsi="ˎ̥" w:eastAsia="仿宋_GB2312"/>
          <w:color w:val="auto"/>
          <w:sz w:val="32"/>
          <w:szCs w:val="32"/>
          <w:lang w:val="en-US" w:eastAsia="zh-CN"/>
        </w:rPr>
        <w:t>8.</w:t>
      </w:r>
      <w:r>
        <w:rPr>
          <w:rFonts w:hint="eastAsia" w:ascii="仿宋_GB2312" w:hAnsi="ˎ̥" w:eastAsia="仿宋_GB2312"/>
          <w:b/>
          <w:bCs/>
          <w:color w:val="auto"/>
          <w:sz w:val="32"/>
          <w:szCs w:val="32"/>
          <w:lang w:val="en-US" w:eastAsia="zh-CN"/>
        </w:rPr>
        <w:t>农林水支出</w:t>
      </w:r>
      <w:r>
        <w:rPr>
          <w:rFonts w:hint="eastAsia" w:ascii="仿宋_GB2312" w:hAnsi="ˎ̥" w:eastAsia="仿宋_GB2312"/>
          <w:b/>
          <w:color w:val="auto"/>
          <w:sz w:val="32"/>
          <w:szCs w:val="32"/>
        </w:rPr>
        <w:t>（类）水利（款）水利行业业务管理（项）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80.64万元</w:t>
      </w:r>
      <w:r>
        <w:rPr>
          <w:rFonts w:hint="eastAsia" w:ascii="仿宋_GB2312" w:hAnsi="ˎ̥" w:eastAsia="仿宋_GB2312"/>
          <w:color w:val="auto"/>
          <w:sz w:val="32"/>
          <w:szCs w:val="32"/>
        </w:rPr>
        <w:t>，支出决算为</w:t>
      </w:r>
      <w:r>
        <w:rPr>
          <w:rFonts w:hint="eastAsia" w:ascii="仿宋_GB2312" w:hAnsi="ˎ̥" w:eastAsia="仿宋_GB2312"/>
          <w:color w:val="auto"/>
          <w:sz w:val="32"/>
          <w:szCs w:val="32"/>
          <w:lang w:val="en-US" w:eastAsia="zh-CN"/>
        </w:rPr>
        <w:t>80.64万元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59D99859">
      <w:pPr>
        <w:spacing w:line="578" w:lineRule="exact"/>
        <w:ind w:firstLine="640" w:firstLineChars="200"/>
        <w:rPr>
          <w:rFonts w:hint="eastAsia" w:ascii="仿宋_GB2312" w:hAnsi="ˎ̥" w:eastAsia="仿宋_GB2312"/>
          <w:color w:val="auto"/>
          <w:sz w:val="32"/>
          <w:szCs w:val="32"/>
          <w:lang w:eastAsia="zh-CN"/>
        </w:rPr>
      </w:pPr>
      <w:r>
        <w:rPr>
          <w:rFonts w:hint="eastAsia" w:ascii="仿宋_GB2312" w:hAnsi="ˎ̥" w:eastAsia="仿宋_GB2312"/>
          <w:color w:val="auto"/>
          <w:sz w:val="32"/>
          <w:szCs w:val="32"/>
          <w:lang w:val="en-US" w:eastAsia="zh-CN"/>
        </w:rPr>
        <w:t>9.</w:t>
      </w:r>
      <w:r>
        <w:rPr>
          <w:rFonts w:hint="eastAsia" w:ascii="仿宋_GB2312" w:hAnsi="ˎ̥" w:eastAsia="仿宋_GB2312"/>
          <w:b/>
          <w:bCs/>
          <w:color w:val="auto"/>
          <w:sz w:val="32"/>
          <w:szCs w:val="32"/>
          <w:lang w:val="en-US" w:eastAsia="zh-CN"/>
        </w:rPr>
        <w:t>农林水支出</w:t>
      </w:r>
      <w:r>
        <w:rPr>
          <w:rFonts w:hint="eastAsia" w:ascii="仿宋_GB2312" w:hAnsi="ˎ̥" w:eastAsia="仿宋_GB2312"/>
          <w:b/>
          <w:color w:val="auto"/>
          <w:sz w:val="32"/>
          <w:szCs w:val="32"/>
        </w:rPr>
        <w:t>（类）水利（款）水利工程</w:t>
      </w:r>
      <w:r>
        <w:rPr>
          <w:rFonts w:hint="eastAsia" w:ascii="仿宋_GB2312" w:hAnsi="ˎ̥" w:eastAsia="仿宋_GB2312"/>
          <w:b/>
          <w:color w:val="auto"/>
          <w:sz w:val="32"/>
          <w:szCs w:val="32"/>
          <w:lang w:eastAsia="zh-CN"/>
        </w:rPr>
        <w:t>运行与维护</w:t>
      </w:r>
      <w:r>
        <w:rPr>
          <w:rFonts w:hint="eastAsia" w:ascii="仿宋_GB2312" w:hAnsi="ˎ̥" w:eastAsia="仿宋_GB2312"/>
          <w:b/>
          <w:color w:val="auto"/>
          <w:sz w:val="32"/>
          <w:szCs w:val="32"/>
        </w:rPr>
        <w:t>（项）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45.49万元</w:t>
      </w:r>
      <w:r>
        <w:rPr>
          <w:rFonts w:hint="eastAsia" w:ascii="仿宋_GB2312" w:hAnsi="ˎ̥" w:eastAsia="仿宋_GB2312"/>
          <w:color w:val="auto"/>
          <w:sz w:val="32"/>
          <w:szCs w:val="32"/>
        </w:rPr>
        <w:t>，支出决算为</w:t>
      </w:r>
      <w:r>
        <w:rPr>
          <w:rFonts w:hint="eastAsia" w:ascii="仿宋_GB2312" w:hAnsi="ˎ̥" w:eastAsia="仿宋_GB2312"/>
          <w:color w:val="auto"/>
          <w:sz w:val="32"/>
          <w:szCs w:val="32"/>
          <w:lang w:val="en-US" w:eastAsia="zh-CN"/>
        </w:rPr>
        <w:t>45.49万元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7C9FDEFF">
      <w:pPr>
        <w:spacing w:line="578" w:lineRule="exact"/>
        <w:ind w:firstLine="640" w:firstLineChars="200"/>
        <w:rPr>
          <w:rFonts w:hint="eastAsia" w:ascii="仿宋_GB2312" w:hAnsi="ˎ̥" w:eastAsia="仿宋_GB2312"/>
          <w:color w:val="auto"/>
          <w:sz w:val="32"/>
          <w:szCs w:val="32"/>
          <w:lang w:eastAsia="zh-CN"/>
        </w:rPr>
      </w:pPr>
      <w:r>
        <w:rPr>
          <w:rFonts w:hint="eastAsia" w:ascii="仿宋_GB2312" w:hAnsi="ˎ̥" w:eastAsia="仿宋_GB2312"/>
          <w:color w:val="auto"/>
          <w:sz w:val="32"/>
          <w:szCs w:val="32"/>
          <w:lang w:val="en-US" w:eastAsia="zh-CN"/>
        </w:rPr>
        <w:t>10.</w:t>
      </w:r>
      <w:r>
        <w:rPr>
          <w:rFonts w:hint="eastAsia" w:ascii="仿宋_GB2312" w:hAnsi="ˎ̥" w:eastAsia="仿宋_GB2312"/>
          <w:b/>
          <w:bCs/>
          <w:color w:val="auto"/>
          <w:sz w:val="32"/>
          <w:szCs w:val="32"/>
          <w:lang w:val="en-US" w:eastAsia="zh-CN"/>
        </w:rPr>
        <w:t>农林水支出</w:t>
      </w:r>
      <w:r>
        <w:rPr>
          <w:rFonts w:hint="eastAsia" w:ascii="仿宋_GB2312" w:hAnsi="ˎ̥" w:eastAsia="仿宋_GB2312"/>
          <w:b/>
          <w:color w:val="auto"/>
          <w:sz w:val="32"/>
          <w:szCs w:val="32"/>
        </w:rPr>
        <w:t>（类）水利（款）水利前期工作（项）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57.00万元</w:t>
      </w:r>
      <w:r>
        <w:rPr>
          <w:rFonts w:hint="eastAsia" w:ascii="仿宋_GB2312" w:hAnsi="ˎ̥" w:eastAsia="仿宋_GB2312"/>
          <w:color w:val="auto"/>
          <w:sz w:val="32"/>
          <w:szCs w:val="32"/>
        </w:rPr>
        <w:t>，支出决算为</w:t>
      </w:r>
      <w:r>
        <w:rPr>
          <w:rFonts w:hint="eastAsia" w:ascii="仿宋_GB2312" w:hAnsi="ˎ̥" w:eastAsia="仿宋_GB2312"/>
          <w:color w:val="auto"/>
          <w:sz w:val="32"/>
          <w:szCs w:val="32"/>
          <w:lang w:val="en-US" w:eastAsia="zh-CN"/>
        </w:rPr>
        <w:t>57万元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1D32B1D4">
      <w:pPr>
        <w:spacing w:line="578" w:lineRule="exact"/>
        <w:ind w:firstLine="640" w:firstLineChars="200"/>
        <w:rPr>
          <w:rFonts w:hint="eastAsia" w:ascii="仿宋_GB2312" w:hAnsi="ˎ̥" w:eastAsia="仿宋_GB2312"/>
          <w:color w:val="auto"/>
          <w:sz w:val="32"/>
          <w:szCs w:val="32"/>
          <w:lang w:eastAsia="zh-CN"/>
        </w:rPr>
      </w:pPr>
      <w:r>
        <w:rPr>
          <w:rFonts w:hint="eastAsia" w:ascii="仿宋_GB2312" w:hAnsi="ˎ̥" w:eastAsia="仿宋_GB2312"/>
          <w:color w:val="auto"/>
          <w:sz w:val="32"/>
          <w:szCs w:val="32"/>
          <w:lang w:val="en-US" w:eastAsia="zh-CN"/>
        </w:rPr>
        <w:t>11.</w:t>
      </w:r>
      <w:r>
        <w:rPr>
          <w:rFonts w:hint="eastAsia" w:ascii="仿宋_GB2312" w:hAnsi="ˎ̥" w:eastAsia="仿宋_GB2312"/>
          <w:b/>
          <w:bCs/>
          <w:color w:val="auto"/>
          <w:sz w:val="32"/>
          <w:szCs w:val="32"/>
          <w:lang w:val="en-US" w:eastAsia="zh-CN"/>
        </w:rPr>
        <w:t>农林水支出</w:t>
      </w:r>
      <w:r>
        <w:rPr>
          <w:rFonts w:hint="eastAsia" w:ascii="仿宋_GB2312" w:hAnsi="ˎ̥" w:eastAsia="仿宋_GB2312"/>
          <w:b/>
          <w:color w:val="auto"/>
          <w:sz w:val="32"/>
          <w:szCs w:val="32"/>
        </w:rPr>
        <w:t>（类）水利（款）水土保持（项）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67.85万元</w:t>
      </w:r>
      <w:r>
        <w:rPr>
          <w:rFonts w:hint="eastAsia" w:ascii="仿宋_GB2312" w:hAnsi="ˎ̥" w:eastAsia="仿宋_GB2312"/>
          <w:color w:val="auto"/>
          <w:sz w:val="32"/>
          <w:szCs w:val="32"/>
        </w:rPr>
        <w:t>，支出决算为</w:t>
      </w:r>
      <w:r>
        <w:rPr>
          <w:rFonts w:hint="eastAsia" w:ascii="仿宋_GB2312" w:hAnsi="ˎ̥" w:eastAsia="仿宋_GB2312"/>
          <w:color w:val="auto"/>
          <w:sz w:val="32"/>
          <w:szCs w:val="32"/>
          <w:lang w:val="en-US" w:eastAsia="zh-CN"/>
        </w:rPr>
        <w:t>67.85万元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63E5F4F2">
      <w:pPr>
        <w:spacing w:line="578" w:lineRule="exact"/>
        <w:ind w:firstLine="640" w:firstLineChars="200"/>
        <w:rPr>
          <w:rFonts w:hint="default"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12.</w:t>
      </w:r>
      <w:r>
        <w:rPr>
          <w:rFonts w:hint="eastAsia" w:ascii="仿宋_GB2312" w:hAnsi="ˎ̥" w:eastAsia="仿宋_GB2312"/>
          <w:b/>
          <w:bCs/>
          <w:color w:val="auto"/>
          <w:sz w:val="32"/>
          <w:szCs w:val="32"/>
          <w:lang w:val="en-US" w:eastAsia="zh-CN"/>
        </w:rPr>
        <w:t>农林水支出</w:t>
      </w:r>
      <w:r>
        <w:rPr>
          <w:rFonts w:hint="eastAsia" w:ascii="仿宋_GB2312" w:hAnsi="ˎ̥" w:eastAsia="仿宋_GB2312"/>
          <w:b/>
          <w:color w:val="auto"/>
          <w:sz w:val="32"/>
          <w:szCs w:val="32"/>
        </w:rPr>
        <w:t>（类）水利（款）水资源节约管理与保护（项）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52.07万元</w:t>
      </w:r>
      <w:r>
        <w:rPr>
          <w:rFonts w:hint="eastAsia" w:ascii="仿宋_GB2312" w:hAnsi="ˎ̥" w:eastAsia="仿宋_GB2312"/>
          <w:color w:val="auto"/>
          <w:sz w:val="32"/>
          <w:szCs w:val="32"/>
        </w:rPr>
        <w:t>，支出决算为</w:t>
      </w:r>
      <w:r>
        <w:rPr>
          <w:rFonts w:hint="eastAsia" w:ascii="仿宋_GB2312" w:hAnsi="ˎ̥" w:eastAsia="仿宋_GB2312"/>
          <w:color w:val="auto"/>
          <w:sz w:val="32"/>
          <w:szCs w:val="32"/>
          <w:lang w:val="en-US" w:eastAsia="zh-CN"/>
        </w:rPr>
        <w:t>52.07万元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57803548">
      <w:pPr>
        <w:spacing w:line="578" w:lineRule="exact"/>
        <w:ind w:firstLine="640" w:firstLineChars="200"/>
        <w:rPr>
          <w:rFonts w:hint="default"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13.</w:t>
      </w:r>
      <w:r>
        <w:rPr>
          <w:rFonts w:hint="eastAsia" w:ascii="仿宋_GB2312" w:hAnsi="ˎ̥" w:eastAsia="仿宋_GB2312"/>
          <w:b/>
          <w:bCs/>
          <w:color w:val="auto"/>
          <w:sz w:val="32"/>
          <w:szCs w:val="32"/>
          <w:lang w:val="en-US" w:eastAsia="zh-CN"/>
        </w:rPr>
        <w:t>农林水支出</w:t>
      </w:r>
      <w:r>
        <w:rPr>
          <w:rFonts w:hint="eastAsia" w:ascii="仿宋_GB2312" w:hAnsi="ˎ̥" w:eastAsia="仿宋_GB2312"/>
          <w:b/>
          <w:color w:val="auto"/>
          <w:sz w:val="32"/>
          <w:szCs w:val="32"/>
        </w:rPr>
        <w:t>（类）水利（款）水质监测（项）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79.20万元</w:t>
      </w:r>
      <w:r>
        <w:rPr>
          <w:rFonts w:hint="eastAsia" w:ascii="仿宋_GB2312" w:hAnsi="ˎ̥" w:eastAsia="仿宋_GB2312"/>
          <w:color w:val="auto"/>
          <w:sz w:val="32"/>
          <w:szCs w:val="32"/>
        </w:rPr>
        <w:t>，支出决算为</w:t>
      </w:r>
      <w:r>
        <w:rPr>
          <w:rFonts w:hint="eastAsia" w:ascii="仿宋_GB2312" w:hAnsi="ˎ̥" w:eastAsia="仿宋_GB2312"/>
          <w:color w:val="auto"/>
          <w:sz w:val="32"/>
          <w:szCs w:val="32"/>
          <w:lang w:val="en-US" w:eastAsia="zh-CN"/>
        </w:rPr>
        <w:t>79.20万元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1E315F6E">
      <w:pPr>
        <w:spacing w:line="578" w:lineRule="exact"/>
        <w:ind w:firstLine="640" w:firstLineChars="200"/>
        <w:rPr>
          <w:rFonts w:hint="default"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14.</w:t>
      </w:r>
      <w:r>
        <w:rPr>
          <w:rFonts w:hint="eastAsia" w:ascii="仿宋_GB2312" w:hAnsi="ˎ̥" w:eastAsia="仿宋_GB2312"/>
          <w:b/>
          <w:bCs/>
          <w:color w:val="auto"/>
          <w:sz w:val="32"/>
          <w:szCs w:val="32"/>
          <w:lang w:val="en-US" w:eastAsia="zh-CN"/>
        </w:rPr>
        <w:t>农林水支出</w:t>
      </w:r>
      <w:r>
        <w:rPr>
          <w:rFonts w:hint="eastAsia" w:ascii="仿宋_GB2312" w:hAnsi="ˎ̥" w:eastAsia="仿宋_GB2312"/>
          <w:b/>
          <w:color w:val="auto"/>
          <w:sz w:val="32"/>
          <w:szCs w:val="32"/>
        </w:rPr>
        <w:t>（类）水利（款）水文测报（项）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17.82万元</w:t>
      </w:r>
      <w:r>
        <w:rPr>
          <w:rFonts w:hint="eastAsia" w:ascii="仿宋_GB2312" w:hAnsi="ˎ̥" w:eastAsia="仿宋_GB2312"/>
          <w:color w:val="auto"/>
          <w:sz w:val="32"/>
          <w:szCs w:val="32"/>
        </w:rPr>
        <w:t>，支出决算为</w:t>
      </w:r>
      <w:r>
        <w:rPr>
          <w:rFonts w:hint="eastAsia" w:ascii="仿宋_GB2312" w:hAnsi="ˎ̥" w:eastAsia="仿宋_GB2312"/>
          <w:color w:val="auto"/>
          <w:sz w:val="32"/>
          <w:szCs w:val="32"/>
          <w:lang w:val="en-US" w:eastAsia="zh-CN"/>
        </w:rPr>
        <w:t>17.82万元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33B49190">
      <w:pPr>
        <w:spacing w:line="578" w:lineRule="exact"/>
        <w:ind w:firstLine="640" w:firstLineChars="200"/>
        <w:rPr>
          <w:rFonts w:hint="default"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15.</w:t>
      </w:r>
      <w:r>
        <w:rPr>
          <w:rFonts w:hint="eastAsia" w:ascii="仿宋_GB2312" w:hAnsi="ˎ̥" w:eastAsia="仿宋_GB2312"/>
          <w:b/>
          <w:bCs/>
          <w:color w:val="auto"/>
          <w:sz w:val="32"/>
          <w:szCs w:val="32"/>
          <w:lang w:val="en-US" w:eastAsia="zh-CN"/>
        </w:rPr>
        <w:t>农林水支出</w:t>
      </w:r>
      <w:r>
        <w:rPr>
          <w:rFonts w:hint="eastAsia" w:ascii="仿宋_GB2312" w:hAnsi="ˎ̥" w:eastAsia="仿宋_GB2312"/>
          <w:b/>
          <w:color w:val="auto"/>
          <w:sz w:val="32"/>
          <w:szCs w:val="32"/>
        </w:rPr>
        <w:t>（类）水利（款）水利安全监督（项）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31.91万元</w:t>
      </w:r>
      <w:r>
        <w:rPr>
          <w:rFonts w:hint="eastAsia" w:ascii="仿宋_GB2312" w:hAnsi="ˎ̥" w:eastAsia="仿宋_GB2312"/>
          <w:color w:val="auto"/>
          <w:sz w:val="32"/>
          <w:szCs w:val="32"/>
        </w:rPr>
        <w:t>，支出决算为</w:t>
      </w:r>
      <w:r>
        <w:rPr>
          <w:rFonts w:hint="eastAsia" w:ascii="仿宋_GB2312" w:hAnsi="ˎ̥" w:eastAsia="仿宋_GB2312"/>
          <w:color w:val="auto"/>
          <w:sz w:val="32"/>
          <w:szCs w:val="32"/>
          <w:lang w:val="en-US" w:eastAsia="zh-CN"/>
        </w:rPr>
        <w:t>31.91万元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476D5A6B">
      <w:pPr>
        <w:spacing w:line="578" w:lineRule="exact"/>
        <w:ind w:firstLine="640" w:firstLineChars="200"/>
        <w:rPr>
          <w:rFonts w:hint="default"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16.</w:t>
      </w:r>
      <w:r>
        <w:rPr>
          <w:rFonts w:hint="eastAsia" w:ascii="仿宋_GB2312" w:hAnsi="ˎ̥" w:eastAsia="仿宋_GB2312"/>
          <w:b/>
          <w:bCs/>
          <w:color w:val="auto"/>
          <w:sz w:val="32"/>
          <w:szCs w:val="32"/>
          <w:lang w:val="en-US" w:eastAsia="zh-CN"/>
        </w:rPr>
        <w:t>农林水支出</w:t>
      </w:r>
      <w:r>
        <w:rPr>
          <w:rFonts w:hint="eastAsia" w:ascii="仿宋_GB2312" w:hAnsi="ˎ̥" w:eastAsia="仿宋_GB2312"/>
          <w:b/>
          <w:color w:val="auto"/>
          <w:sz w:val="32"/>
          <w:szCs w:val="32"/>
        </w:rPr>
        <w:t>（类）水利（款）防汛（项）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567.23万元</w:t>
      </w:r>
      <w:r>
        <w:rPr>
          <w:rFonts w:hint="eastAsia" w:ascii="仿宋_GB2312" w:hAnsi="ˎ̥" w:eastAsia="仿宋_GB2312"/>
          <w:color w:val="auto"/>
          <w:sz w:val="32"/>
          <w:szCs w:val="32"/>
        </w:rPr>
        <w:t>，支出决算为</w:t>
      </w:r>
      <w:r>
        <w:rPr>
          <w:rFonts w:hint="eastAsia" w:ascii="仿宋_GB2312" w:hAnsi="ˎ̥" w:eastAsia="仿宋_GB2312"/>
          <w:color w:val="auto"/>
          <w:sz w:val="32"/>
          <w:szCs w:val="32"/>
          <w:lang w:val="en-US" w:eastAsia="zh-CN"/>
        </w:rPr>
        <w:t>567.23万元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42036C9C">
      <w:pPr>
        <w:spacing w:line="578" w:lineRule="exact"/>
        <w:ind w:firstLine="640" w:firstLineChars="200"/>
        <w:rPr>
          <w:rFonts w:hint="eastAsia" w:ascii="仿宋_GB2312" w:hAnsi="ˎ̥" w:eastAsia="仿宋_GB2312"/>
          <w:color w:val="auto"/>
          <w:sz w:val="32"/>
          <w:szCs w:val="32"/>
          <w:lang w:eastAsia="zh-CN"/>
        </w:rPr>
      </w:pPr>
      <w:r>
        <w:rPr>
          <w:rFonts w:hint="eastAsia" w:ascii="仿宋_GB2312" w:hAnsi="ˎ̥" w:eastAsia="仿宋_GB2312"/>
          <w:color w:val="auto"/>
          <w:sz w:val="32"/>
          <w:szCs w:val="32"/>
          <w:lang w:val="en-US" w:eastAsia="zh-CN"/>
        </w:rPr>
        <w:t>17.</w:t>
      </w:r>
      <w:r>
        <w:rPr>
          <w:rFonts w:hint="eastAsia" w:ascii="仿宋_GB2312" w:hAnsi="ˎ̥" w:eastAsia="仿宋_GB2312"/>
          <w:b/>
          <w:bCs/>
          <w:color w:val="auto"/>
          <w:sz w:val="32"/>
          <w:szCs w:val="32"/>
          <w:lang w:val="en-US" w:eastAsia="zh-CN"/>
        </w:rPr>
        <w:t>住房保障支出</w:t>
      </w:r>
      <w:r>
        <w:rPr>
          <w:rFonts w:hint="eastAsia" w:ascii="仿宋_GB2312" w:hAnsi="ˎ̥" w:eastAsia="仿宋_GB2312"/>
          <w:b/>
          <w:color w:val="auto"/>
          <w:sz w:val="32"/>
          <w:szCs w:val="32"/>
        </w:rPr>
        <w:t>（类）住房改革支出（款）住房公积金（项）</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156.35万</w:t>
      </w:r>
      <w:r>
        <w:rPr>
          <w:rFonts w:hint="eastAsia" w:ascii="仿宋_GB2312" w:hAnsi="ˎ̥" w:eastAsia="仿宋_GB2312"/>
          <w:color w:val="auto"/>
          <w:sz w:val="32"/>
          <w:szCs w:val="32"/>
        </w:rPr>
        <w:t>元，支出决算为</w:t>
      </w:r>
      <w:r>
        <w:rPr>
          <w:rFonts w:hint="eastAsia" w:ascii="仿宋_GB2312" w:hAnsi="ˎ̥" w:eastAsia="仿宋_GB2312"/>
          <w:color w:val="auto"/>
          <w:sz w:val="32"/>
          <w:szCs w:val="32"/>
          <w:lang w:val="en-US" w:eastAsia="zh-CN"/>
        </w:rPr>
        <w:t>156.35万元</w:t>
      </w:r>
      <w:r>
        <w:rPr>
          <w:rFonts w:hint="eastAsia" w:ascii="仿宋_GB2312" w:hAnsi="ˎ̥" w:eastAsia="仿宋_GB2312"/>
          <w:color w:val="auto"/>
          <w:sz w:val="32"/>
          <w:szCs w:val="32"/>
        </w:rPr>
        <w:t>，完成年初预算的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42B7797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bCs/>
          <w:color w:val="auto"/>
          <w:sz w:val="32"/>
          <w:szCs w:val="32"/>
        </w:rPr>
        <w:t>六、一般公共预算财政拨款基本支出决算情况说明</w:t>
      </w:r>
    </w:p>
    <w:p w14:paraId="342386E0">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color w:val="auto"/>
          <w:sz w:val="32"/>
          <w:szCs w:val="32"/>
          <w:lang w:val="en-US"/>
        </w:rPr>
        <w:t>2025</w:t>
      </w:r>
      <w:r>
        <w:rPr>
          <w:rFonts w:hint="eastAsia" w:ascii="仿宋_GB2312" w:hAnsi="ˎ̥" w:eastAsia="仿宋_GB2312"/>
          <w:color w:val="auto"/>
          <w:sz w:val="32"/>
          <w:szCs w:val="32"/>
        </w:rPr>
        <w:t>年度财政拨款基本支出</w:t>
      </w:r>
      <w:r>
        <w:rPr>
          <w:rFonts w:hint="eastAsia" w:ascii="仿宋_GB2312" w:hAnsi="ˎ̥" w:eastAsia="仿宋_GB2312"/>
          <w:color w:val="auto"/>
          <w:sz w:val="32"/>
          <w:szCs w:val="32"/>
          <w:lang w:val="en-US" w:eastAsia="zh-CN"/>
        </w:rPr>
        <w:t>2410.09</w:t>
      </w:r>
      <w:r>
        <w:rPr>
          <w:rFonts w:hint="eastAsia" w:ascii="仿宋_GB2312" w:hAnsi="ˎ̥" w:eastAsia="仿宋_GB2312"/>
          <w:color w:val="auto"/>
          <w:sz w:val="32"/>
          <w:szCs w:val="32"/>
        </w:rPr>
        <w:t>万元，其中：人员经费</w:t>
      </w:r>
      <w:r>
        <w:rPr>
          <w:rFonts w:ascii="仿宋_GB2312" w:hAnsi="ˎ̥" w:eastAsia="仿宋_GB2312"/>
          <w:color w:val="auto"/>
          <w:sz w:val="32"/>
          <w:szCs w:val="32"/>
          <w:lang w:val="en-US"/>
        </w:rPr>
        <w:t>2,145.82</w:t>
      </w:r>
      <w:r>
        <w:rPr>
          <w:rFonts w:hint="eastAsia" w:ascii="仿宋_GB2312" w:hAnsi="ˎ̥" w:eastAsia="仿宋_GB2312"/>
          <w:color w:val="auto"/>
          <w:sz w:val="32"/>
          <w:szCs w:val="32"/>
        </w:rPr>
        <w:t>万元，主要包括：工资福利支出中的基本工资</w:t>
      </w:r>
      <w:r>
        <w:rPr>
          <w:rFonts w:hint="eastAsia" w:ascii="仿宋_GB2312" w:hAnsi="ˎ̥" w:eastAsia="仿宋_GB2312"/>
          <w:color w:val="auto"/>
          <w:sz w:val="32"/>
          <w:szCs w:val="32"/>
          <w:lang w:val="en-US" w:eastAsia="zh-CN"/>
        </w:rPr>
        <w:t>293.84万元</w:t>
      </w:r>
      <w:r>
        <w:rPr>
          <w:rFonts w:hint="eastAsia" w:ascii="仿宋_GB2312" w:hAnsi="ˎ̥" w:eastAsia="仿宋_GB2312"/>
          <w:color w:val="auto"/>
          <w:sz w:val="32"/>
          <w:szCs w:val="32"/>
        </w:rPr>
        <w:t>、津贴补贴</w:t>
      </w:r>
      <w:r>
        <w:rPr>
          <w:rFonts w:hint="eastAsia" w:ascii="仿宋_GB2312" w:hAnsi="ˎ̥" w:eastAsia="仿宋_GB2312"/>
          <w:color w:val="auto"/>
          <w:sz w:val="32"/>
          <w:szCs w:val="32"/>
          <w:lang w:val="en-US" w:eastAsia="zh-CN"/>
        </w:rPr>
        <w:t>1038.39万元</w:t>
      </w:r>
      <w:r>
        <w:rPr>
          <w:rFonts w:hint="eastAsia" w:ascii="仿宋_GB2312" w:hAnsi="ˎ̥" w:eastAsia="仿宋_GB2312"/>
          <w:color w:val="auto"/>
          <w:sz w:val="32"/>
          <w:szCs w:val="32"/>
        </w:rPr>
        <w:t>、奖金</w:t>
      </w:r>
      <w:r>
        <w:rPr>
          <w:rFonts w:hint="eastAsia" w:ascii="仿宋_GB2312" w:hAnsi="ˎ̥" w:eastAsia="仿宋_GB2312"/>
          <w:color w:val="auto"/>
          <w:sz w:val="32"/>
          <w:szCs w:val="32"/>
          <w:lang w:val="en-US" w:eastAsia="zh-CN"/>
        </w:rPr>
        <w:t>105.96万元</w:t>
      </w:r>
      <w:r>
        <w:rPr>
          <w:rFonts w:hint="eastAsia" w:ascii="仿宋_GB2312" w:hAnsi="ˎ̥" w:eastAsia="仿宋_GB2312"/>
          <w:color w:val="auto"/>
          <w:sz w:val="32"/>
          <w:szCs w:val="32"/>
        </w:rPr>
        <w:t>、伙食补助费、绩效工资、机关事业单位基本养老保险缴费</w:t>
      </w:r>
      <w:r>
        <w:rPr>
          <w:rFonts w:hint="eastAsia" w:ascii="仿宋_GB2312" w:hAnsi="ˎ̥" w:eastAsia="仿宋_GB2312"/>
          <w:color w:val="auto"/>
          <w:sz w:val="32"/>
          <w:szCs w:val="32"/>
          <w:lang w:val="en-US" w:eastAsia="zh-CN"/>
        </w:rPr>
        <w:t>195.87万元</w:t>
      </w:r>
      <w:r>
        <w:rPr>
          <w:rFonts w:hint="eastAsia" w:ascii="仿宋_GB2312" w:hAnsi="ˎ̥" w:eastAsia="仿宋_GB2312"/>
          <w:color w:val="auto"/>
          <w:sz w:val="32"/>
          <w:szCs w:val="32"/>
        </w:rPr>
        <w:t>、职业年金缴费、职工基本医疗保险缴费</w:t>
      </w:r>
      <w:r>
        <w:rPr>
          <w:rFonts w:hint="eastAsia" w:ascii="仿宋_GB2312" w:hAnsi="ˎ̥" w:eastAsia="仿宋_GB2312"/>
          <w:color w:val="auto"/>
          <w:sz w:val="32"/>
          <w:szCs w:val="32"/>
          <w:lang w:val="en-US" w:eastAsia="zh-CN"/>
        </w:rPr>
        <w:t>96.76万元</w:t>
      </w:r>
      <w:r>
        <w:rPr>
          <w:rFonts w:hint="eastAsia" w:ascii="仿宋_GB2312" w:hAnsi="ˎ̥" w:eastAsia="仿宋_GB2312"/>
          <w:color w:val="auto"/>
          <w:sz w:val="32"/>
          <w:szCs w:val="32"/>
        </w:rPr>
        <w:t>、公务员医疗补助缴费</w:t>
      </w:r>
      <w:r>
        <w:rPr>
          <w:rFonts w:hint="eastAsia" w:ascii="仿宋_GB2312" w:hAnsi="ˎ̥" w:eastAsia="仿宋_GB2312"/>
          <w:color w:val="auto"/>
          <w:sz w:val="32"/>
          <w:szCs w:val="32"/>
          <w:lang w:val="en-US" w:eastAsia="zh-CN"/>
        </w:rPr>
        <w:t>14.82万元</w:t>
      </w:r>
      <w:r>
        <w:rPr>
          <w:rFonts w:hint="eastAsia" w:ascii="仿宋_GB2312" w:hAnsi="ˎ̥" w:eastAsia="仿宋_GB2312"/>
          <w:color w:val="auto"/>
          <w:sz w:val="32"/>
          <w:szCs w:val="32"/>
        </w:rPr>
        <w:t>、其他社会保障缴费</w:t>
      </w:r>
      <w:r>
        <w:rPr>
          <w:rFonts w:hint="eastAsia" w:ascii="仿宋_GB2312" w:hAnsi="ˎ̥" w:eastAsia="仿宋_GB2312"/>
          <w:color w:val="auto"/>
          <w:sz w:val="32"/>
          <w:szCs w:val="32"/>
          <w:lang w:val="en-US" w:eastAsia="zh-CN"/>
        </w:rPr>
        <w:t>3.6万元</w:t>
      </w:r>
      <w:r>
        <w:rPr>
          <w:rFonts w:hint="eastAsia" w:ascii="仿宋_GB2312" w:hAnsi="ˎ̥" w:eastAsia="仿宋_GB2312"/>
          <w:color w:val="auto"/>
          <w:sz w:val="32"/>
          <w:szCs w:val="32"/>
        </w:rPr>
        <w:t>、住房公积金</w:t>
      </w:r>
      <w:r>
        <w:rPr>
          <w:rFonts w:hint="eastAsia" w:ascii="仿宋_GB2312" w:hAnsi="ˎ̥" w:eastAsia="仿宋_GB2312"/>
          <w:color w:val="auto"/>
          <w:sz w:val="32"/>
          <w:szCs w:val="32"/>
          <w:lang w:val="en-US" w:eastAsia="zh-CN"/>
        </w:rPr>
        <w:t>156.35万元</w:t>
      </w:r>
      <w:r>
        <w:rPr>
          <w:rFonts w:hint="eastAsia" w:ascii="仿宋_GB2312" w:hAnsi="ˎ̥" w:eastAsia="仿宋_GB2312"/>
          <w:color w:val="auto"/>
          <w:sz w:val="32"/>
          <w:szCs w:val="32"/>
        </w:rPr>
        <w:t>、医疗费</w:t>
      </w:r>
      <w:r>
        <w:rPr>
          <w:rFonts w:hint="eastAsia" w:ascii="仿宋_GB2312" w:hAnsi="ˎ̥" w:eastAsia="仿宋_GB2312"/>
          <w:color w:val="auto"/>
          <w:sz w:val="32"/>
          <w:szCs w:val="32"/>
          <w:lang w:val="en-US" w:eastAsia="zh-CN"/>
        </w:rPr>
        <w:t>19.74万元</w:t>
      </w:r>
      <w:r>
        <w:rPr>
          <w:rFonts w:hint="eastAsia" w:ascii="仿宋_GB2312" w:hAnsi="ˎ̥" w:eastAsia="仿宋_GB2312"/>
          <w:color w:val="auto"/>
          <w:sz w:val="32"/>
          <w:szCs w:val="32"/>
        </w:rPr>
        <w:t>、其他工资福利支出</w:t>
      </w:r>
      <w:r>
        <w:rPr>
          <w:rFonts w:hint="eastAsia" w:ascii="仿宋_GB2312" w:hAnsi="ˎ̥" w:eastAsia="仿宋_GB2312"/>
          <w:color w:val="auto"/>
          <w:sz w:val="32"/>
          <w:szCs w:val="32"/>
          <w:lang w:val="en-US" w:eastAsia="zh-CN"/>
        </w:rPr>
        <w:t>200.45万元</w:t>
      </w:r>
      <w:r>
        <w:rPr>
          <w:rFonts w:hint="eastAsia" w:ascii="仿宋_GB2312" w:hAnsi="ˎ̥" w:eastAsia="仿宋_GB2312"/>
          <w:color w:val="auto"/>
          <w:sz w:val="32"/>
          <w:szCs w:val="32"/>
        </w:rPr>
        <w:t>；对个人和家庭的补助中的离休费、退休费、退职（役）费、抚恤金、生活补助</w:t>
      </w:r>
      <w:r>
        <w:rPr>
          <w:rFonts w:hint="eastAsia" w:ascii="仿宋_GB2312" w:hAnsi="ˎ̥" w:eastAsia="仿宋_GB2312"/>
          <w:color w:val="auto"/>
          <w:sz w:val="32"/>
          <w:szCs w:val="32"/>
          <w:lang w:val="en-US" w:eastAsia="zh-CN"/>
        </w:rPr>
        <w:t>7.34万元</w:t>
      </w:r>
      <w:r>
        <w:rPr>
          <w:rFonts w:hint="eastAsia" w:ascii="仿宋_GB2312" w:hAnsi="ˎ̥" w:eastAsia="仿宋_GB2312"/>
          <w:color w:val="auto"/>
          <w:sz w:val="32"/>
          <w:szCs w:val="32"/>
        </w:rPr>
        <w:t>、救济费、医疗费补助</w:t>
      </w:r>
      <w:r>
        <w:rPr>
          <w:rFonts w:hint="eastAsia" w:ascii="仿宋_GB2312" w:hAnsi="ˎ̥" w:eastAsia="仿宋_GB2312"/>
          <w:color w:val="auto"/>
          <w:sz w:val="32"/>
          <w:szCs w:val="32"/>
          <w:lang w:val="en-US" w:eastAsia="zh-CN"/>
        </w:rPr>
        <w:t>2.30万元</w:t>
      </w:r>
      <w:r>
        <w:rPr>
          <w:rFonts w:hint="eastAsia" w:ascii="仿宋_GB2312" w:hAnsi="ˎ̥" w:eastAsia="仿宋_GB2312"/>
          <w:color w:val="auto"/>
          <w:sz w:val="32"/>
          <w:szCs w:val="32"/>
        </w:rPr>
        <w:t>、助学金、奖励金、个人农业生产补贴、代缴社会保险费、其他对个人和家庭的补助</w:t>
      </w:r>
      <w:r>
        <w:rPr>
          <w:rFonts w:hint="eastAsia" w:ascii="仿宋_GB2312" w:hAnsi="ˎ̥" w:eastAsia="仿宋_GB2312"/>
          <w:color w:val="auto"/>
          <w:sz w:val="32"/>
          <w:szCs w:val="32"/>
          <w:lang w:val="en-US" w:eastAsia="zh-CN"/>
        </w:rPr>
        <w:t>10.40万元</w:t>
      </w:r>
      <w:r>
        <w:rPr>
          <w:rFonts w:hint="eastAsia" w:ascii="仿宋_GB2312" w:hAnsi="ˎ̥" w:eastAsia="仿宋_GB2312"/>
          <w:color w:val="auto"/>
          <w:sz w:val="32"/>
          <w:szCs w:val="32"/>
        </w:rPr>
        <w:t>。公用经费</w:t>
      </w:r>
      <w:r>
        <w:rPr>
          <w:rFonts w:ascii="仿宋_GB2312" w:hAnsi="ˎ̥" w:eastAsia="仿宋_GB2312"/>
          <w:color w:val="auto"/>
          <w:sz w:val="32"/>
          <w:szCs w:val="32"/>
          <w:lang w:val="en-US"/>
        </w:rPr>
        <w:t>264.27</w:t>
      </w:r>
      <w:r>
        <w:rPr>
          <w:rFonts w:hint="eastAsia" w:ascii="仿宋_GB2312" w:hAnsi="ˎ̥" w:eastAsia="仿宋_GB2312"/>
          <w:color w:val="auto"/>
          <w:sz w:val="32"/>
          <w:szCs w:val="32"/>
        </w:rPr>
        <w:t>万元，主要包括：商品和服务支出中的办公费</w:t>
      </w:r>
      <w:r>
        <w:rPr>
          <w:rFonts w:hint="eastAsia" w:ascii="仿宋_GB2312" w:hAnsi="ˎ̥" w:eastAsia="仿宋_GB2312"/>
          <w:color w:val="auto"/>
          <w:sz w:val="32"/>
          <w:szCs w:val="32"/>
          <w:lang w:val="en-US" w:eastAsia="zh-CN"/>
        </w:rPr>
        <w:t>10.58万元</w:t>
      </w:r>
      <w:r>
        <w:rPr>
          <w:rFonts w:hint="eastAsia" w:ascii="仿宋_GB2312" w:hAnsi="ˎ̥" w:eastAsia="仿宋_GB2312"/>
          <w:color w:val="auto"/>
          <w:sz w:val="32"/>
          <w:szCs w:val="32"/>
        </w:rPr>
        <w:t>、印刷费</w:t>
      </w:r>
      <w:r>
        <w:rPr>
          <w:rFonts w:hint="eastAsia" w:ascii="仿宋_GB2312" w:hAnsi="ˎ̥" w:eastAsia="仿宋_GB2312"/>
          <w:color w:val="auto"/>
          <w:sz w:val="32"/>
          <w:szCs w:val="32"/>
          <w:lang w:val="en-US" w:eastAsia="zh-CN"/>
        </w:rPr>
        <w:t>7.95万元</w:t>
      </w:r>
      <w:r>
        <w:rPr>
          <w:rFonts w:hint="eastAsia" w:ascii="仿宋_GB2312" w:hAnsi="ˎ̥" w:eastAsia="仿宋_GB2312"/>
          <w:color w:val="auto"/>
          <w:sz w:val="32"/>
          <w:szCs w:val="32"/>
        </w:rPr>
        <w:t>、咨询费、手续费、水费</w:t>
      </w:r>
      <w:r>
        <w:rPr>
          <w:rFonts w:hint="eastAsia" w:ascii="仿宋_GB2312" w:hAnsi="ˎ̥" w:eastAsia="仿宋_GB2312"/>
          <w:color w:val="auto"/>
          <w:sz w:val="32"/>
          <w:szCs w:val="32"/>
          <w:lang w:val="en-US" w:eastAsia="zh-CN"/>
        </w:rPr>
        <w:t>2.48万元</w:t>
      </w:r>
      <w:r>
        <w:rPr>
          <w:rFonts w:hint="eastAsia" w:ascii="仿宋_GB2312" w:hAnsi="ˎ̥" w:eastAsia="仿宋_GB2312"/>
          <w:color w:val="auto"/>
          <w:sz w:val="32"/>
          <w:szCs w:val="32"/>
        </w:rPr>
        <w:t>、电费</w:t>
      </w:r>
      <w:r>
        <w:rPr>
          <w:rFonts w:hint="eastAsia" w:ascii="仿宋_GB2312" w:hAnsi="ˎ̥" w:eastAsia="仿宋_GB2312"/>
          <w:color w:val="auto"/>
          <w:sz w:val="32"/>
          <w:szCs w:val="32"/>
          <w:lang w:val="en-US" w:eastAsia="zh-CN"/>
        </w:rPr>
        <w:t>29.63万元</w:t>
      </w:r>
      <w:r>
        <w:rPr>
          <w:rFonts w:hint="eastAsia" w:ascii="仿宋_GB2312" w:hAnsi="ˎ̥" w:eastAsia="仿宋_GB2312"/>
          <w:color w:val="auto"/>
          <w:sz w:val="32"/>
          <w:szCs w:val="32"/>
        </w:rPr>
        <w:t>、邮电费</w:t>
      </w:r>
      <w:r>
        <w:rPr>
          <w:rFonts w:hint="eastAsia" w:ascii="仿宋_GB2312" w:hAnsi="ˎ̥" w:eastAsia="仿宋_GB2312"/>
          <w:color w:val="auto"/>
          <w:sz w:val="32"/>
          <w:szCs w:val="32"/>
          <w:lang w:val="en-US" w:eastAsia="zh-CN"/>
        </w:rPr>
        <w:t>18.62万元</w:t>
      </w:r>
      <w:r>
        <w:rPr>
          <w:rFonts w:hint="eastAsia" w:ascii="仿宋_GB2312" w:hAnsi="ˎ̥" w:eastAsia="仿宋_GB2312"/>
          <w:color w:val="auto"/>
          <w:sz w:val="32"/>
          <w:szCs w:val="32"/>
        </w:rPr>
        <w:t>、取暖费、物业管理费、差旅费</w:t>
      </w:r>
      <w:r>
        <w:rPr>
          <w:rFonts w:hint="eastAsia" w:ascii="仿宋_GB2312" w:hAnsi="ˎ̥" w:eastAsia="仿宋_GB2312"/>
          <w:color w:val="auto"/>
          <w:sz w:val="32"/>
          <w:szCs w:val="32"/>
          <w:lang w:val="en-US" w:eastAsia="zh-CN"/>
        </w:rPr>
        <w:t>56.55万元</w:t>
      </w:r>
      <w:r>
        <w:rPr>
          <w:rFonts w:hint="eastAsia" w:ascii="仿宋_GB2312" w:hAnsi="ˎ̥" w:eastAsia="仿宋_GB2312"/>
          <w:color w:val="auto"/>
          <w:sz w:val="32"/>
          <w:szCs w:val="32"/>
        </w:rPr>
        <w:t>、因公出国（境）费用、维修（护）费、租赁费、会议费、培训费、公务接待费、专用材料费、被装购置费、专用燃料费、劳务费、委托业务费</w:t>
      </w:r>
      <w:r>
        <w:rPr>
          <w:rFonts w:hint="eastAsia" w:ascii="仿宋_GB2312" w:hAnsi="ˎ̥" w:eastAsia="仿宋_GB2312"/>
          <w:color w:val="auto"/>
          <w:sz w:val="32"/>
          <w:szCs w:val="32"/>
          <w:lang w:val="en-US" w:eastAsia="zh-CN"/>
        </w:rPr>
        <w:t>1.07万元</w:t>
      </w:r>
      <w:r>
        <w:rPr>
          <w:rFonts w:hint="eastAsia" w:ascii="仿宋_GB2312" w:hAnsi="ˎ̥" w:eastAsia="仿宋_GB2312"/>
          <w:color w:val="auto"/>
          <w:sz w:val="32"/>
          <w:szCs w:val="32"/>
        </w:rPr>
        <w:t>、工会经费</w:t>
      </w:r>
      <w:r>
        <w:rPr>
          <w:rFonts w:hint="eastAsia" w:ascii="仿宋_GB2312" w:hAnsi="ˎ̥" w:eastAsia="仿宋_GB2312"/>
          <w:color w:val="auto"/>
          <w:sz w:val="32"/>
          <w:szCs w:val="32"/>
          <w:lang w:val="en-US" w:eastAsia="zh-CN"/>
        </w:rPr>
        <w:t>27.01万元</w:t>
      </w:r>
      <w:r>
        <w:rPr>
          <w:rFonts w:hint="eastAsia" w:ascii="仿宋_GB2312" w:hAnsi="ˎ̥" w:eastAsia="仿宋_GB2312"/>
          <w:color w:val="auto"/>
          <w:sz w:val="32"/>
          <w:szCs w:val="32"/>
        </w:rPr>
        <w:t>、福利费、公务用车运行维护费</w:t>
      </w:r>
      <w:r>
        <w:rPr>
          <w:rFonts w:hint="eastAsia" w:ascii="仿宋_GB2312" w:hAnsi="ˎ̥" w:eastAsia="仿宋_GB2312"/>
          <w:color w:val="auto"/>
          <w:sz w:val="32"/>
          <w:szCs w:val="32"/>
          <w:lang w:val="en-US" w:eastAsia="zh-CN"/>
        </w:rPr>
        <w:t>60.27万元</w:t>
      </w:r>
      <w:r>
        <w:rPr>
          <w:rFonts w:hint="eastAsia" w:ascii="仿宋_GB2312" w:hAnsi="ˎ̥" w:eastAsia="仿宋_GB2312"/>
          <w:color w:val="auto"/>
          <w:sz w:val="32"/>
          <w:szCs w:val="32"/>
        </w:rPr>
        <w:t>、其他交通费用、税金及附加费用、其他商品和服务支出</w:t>
      </w:r>
      <w:r>
        <w:rPr>
          <w:rFonts w:hint="eastAsia" w:ascii="仿宋_GB2312" w:hAnsi="ˎ̥" w:eastAsia="仿宋_GB2312"/>
          <w:sz w:val="32"/>
          <w:szCs w:val="32"/>
          <w:lang w:val="en-US" w:eastAsia="zh-CN"/>
        </w:rPr>
        <w:t>49.44万元</w:t>
      </w:r>
      <w:r>
        <w:rPr>
          <w:rFonts w:hint="eastAsia" w:ascii="仿宋_GB2312" w:hAnsi="ˎ̥" w:eastAsia="仿宋_GB2312"/>
          <w:sz w:val="32"/>
          <w:szCs w:val="32"/>
        </w:rPr>
        <w:t>；债务利息及费用支出中的国内债务付息及国外债务付息；资本性支出中的房屋建筑物</w:t>
      </w:r>
      <w:r>
        <w:rPr>
          <w:rFonts w:hint="eastAsia" w:ascii="仿宋_GB2312" w:hAnsi="ˎ̥" w:eastAsia="仿宋_GB2312"/>
          <w:sz w:val="32"/>
          <w:szCs w:val="32"/>
          <w:lang w:val="en-US" w:eastAsia="zh-CN"/>
        </w:rPr>
        <w:t>购</w:t>
      </w:r>
      <w:r>
        <w:rPr>
          <w:rFonts w:hint="eastAsia" w:ascii="仿宋_GB2312" w:hAnsi="ˎ̥" w:eastAsia="仿宋_GB2312"/>
          <w:sz w:val="32"/>
          <w:szCs w:val="32"/>
        </w:rPr>
        <w:t>建、办公设备购置、专用设备购置、基础设施建设、大型修缮、信息网络及软件购置更新、物资储备、土地补偿、安置补助、地上附着物和青苗补偿、拆迁补偿、公务用车购置、其他交通工具购置、文物和陈列品购置、无形资产购置、其他资本性支出等；其他支出中的赠予、国家赔偿费用支出、对民间非营利组织和群众性自治组织补贴和其他支出。</w:t>
      </w:r>
    </w:p>
    <w:p w14:paraId="41DCB68B">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14:paraId="66C2F0C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（一）政府性基金预算财政拨款支出决算总体情况</w:t>
      </w:r>
    </w:p>
    <w:p w14:paraId="4FCF8E2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default" w:ascii="仿宋_GB2312" w:hAnsi="ˎ̥" w:eastAsia="仿宋_GB2312"/>
          <w:sz w:val="32"/>
          <w:szCs w:val="32"/>
          <w:lang w:val="en-US"/>
        </w:rPr>
        <w:t>20</w:t>
      </w:r>
      <w:r>
        <w:rPr>
          <w:rFonts w:hint="default" w:ascii="仿宋_GB2312" w:hAnsi="ˎ̥" w:eastAsia="仿宋_GB2312"/>
          <w:color w:val="auto"/>
          <w:sz w:val="32"/>
          <w:szCs w:val="32"/>
          <w:lang w:val="en-US"/>
        </w:rPr>
        <w:t>25</w:t>
      </w:r>
      <w:r>
        <w:rPr>
          <w:rFonts w:hint="eastAsia" w:ascii="仿宋_GB2312" w:hAnsi="ˎ̥" w:eastAsia="仿宋_GB2312"/>
          <w:color w:val="auto"/>
          <w:sz w:val="32"/>
          <w:szCs w:val="32"/>
        </w:rPr>
        <w:t>年度政府性基金预算财政拨款支出</w:t>
      </w:r>
      <w:r>
        <w:rPr>
          <w:rFonts w:hint="default" w:ascii="仿宋_GB2312" w:hAnsi="ˎ̥" w:eastAsia="仿宋_GB2312"/>
          <w:color w:val="auto"/>
          <w:sz w:val="32"/>
          <w:szCs w:val="32"/>
          <w:lang w:val="en-US"/>
        </w:rPr>
        <w:t>1,988.39</w:t>
      </w:r>
      <w:r>
        <w:rPr>
          <w:rFonts w:hint="eastAsia" w:ascii="仿宋_GB2312" w:hAnsi="ˎ̥" w:eastAsia="仿宋_GB2312"/>
          <w:color w:val="auto"/>
          <w:sz w:val="32"/>
          <w:szCs w:val="32"/>
        </w:rPr>
        <w:t>万元，占本年支出合计的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%。与</w:t>
      </w: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年度相比，政府性基金预算财政拨款支出减少</w:t>
      </w:r>
      <w:r>
        <w:rPr>
          <w:rFonts w:hint="eastAsia" w:ascii="仿宋_GB2312" w:hAnsi="ˎ̥" w:eastAsia="仿宋_GB2312"/>
          <w:color w:val="auto"/>
          <w:sz w:val="32"/>
          <w:szCs w:val="32"/>
          <w:lang w:val="en-US" w:eastAsia="zh-CN"/>
        </w:rPr>
        <w:t>1113.69</w:t>
      </w:r>
      <w:r>
        <w:rPr>
          <w:rFonts w:hint="eastAsia" w:ascii="仿宋_GB2312" w:hAnsi="ˎ̥" w:eastAsia="仿宋_GB2312"/>
          <w:color w:val="auto"/>
          <w:sz w:val="32"/>
          <w:szCs w:val="32"/>
        </w:rPr>
        <w:t>万元，下降</w:t>
      </w:r>
      <w:r>
        <w:rPr>
          <w:rFonts w:hint="eastAsia" w:ascii="仿宋_GB2312" w:hAnsi="ˎ̥" w:eastAsia="仿宋_GB2312"/>
          <w:color w:val="auto"/>
          <w:sz w:val="32"/>
          <w:szCs w:val="32"/>
          <w:lang w:val="en-US" w:eastAsia="zh-CN"/>
        </w:rPr>
        <w:t>56</w:t>
      </w:r>
      <w:r>
        <w:rPr>
          <w:rFonts w:hint="eastAsia" w:ascii="仿宋_GB2312" w:hAnsi="ˎ̥" w:eastAsia="仿宋_GB2312"/>
          <w:color w:val="auto"/>
          <w:sz w:val="32"/>
          <w:szCs w:val="32"/>
        </w:rPr>
        <w:t>%，主要原因是</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rPr>
        <w:t>专项债券转贷支出。</w:t>
      </w:r>
    </w:p>
    <w:p w14:paraId="2525EC4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（二）政府性基金预算财政拨款支出决算结构情况</w:t>
      </w:r>
    </w:p>
    <w:p w14:paraId="2AE5078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default" w:ascii="仿宋_GB2312" w:hAnsi="ˎ̥" w:eastAsia="仿宋_GB2312"/>
          <w:color w:val="auto"/>
          <w:sz w:val="32"/>
          <w:szCs w:val="32"/>
          <w:lang w:val="en-US"/>
        </w:rPr>
        <w:t>2025</w:t>
      </w:r>
      <w:r>
        <w:rPr>
          <w:rFonts w:hint="eastAsia" w:ascii="仿宋_GB2312" w:hAnsi="ˎ̥" w:eastAsia="仿宋_GB2312"/>
          <w:color w:val="auto"/>
          <w:sz w:val="32"/>
          <w:szCs w:val="32"/>
        </w:rPr>
        <w:t>年度政府性基金预算财政拨款支出</w:t>
      </w:r>
      <w:r>
        <w:rPr>
          <w:rFonts w:hint="default" w:ascii="仿宋_GB2312" w:hAnsi="ˎ̥" w:eastAsia="仿宋_GB2312"/>
          <w:color w:val="auto"/>
          <w:sz w:val="32"/>
          <w:szCs w:val="32"/>
          <w:lang w:val="en-US"/>
        </w:rPr>
        <w:t>1,988.39</w:t>
      </w:r>
      <w:r>
        <w:rPr>
          <w:rFonts w:hint="eastAsia" w:ascii="仿宋_GB2312" w:hAnsi="ˎ̥" w:eastAsia="仿宋_GB2312"/>
          <w:color w:val="auto"/>
          <w:sz w:val="32"/>
          <w:szCs w:val="32"/>
        </w:rPr>
        <w:t>万元，主要用于以下方面：农林水支出（类）超长期特别国债安排的支出支出</w:t>
      </w:r>
      <w:r>
        <w:rPr>
          <w:rFonts w:hint="eastAsia" w:ascii="仿宋_GB2312" w:hAnsi="ˎ̥" w:eastAsia="仿宋_GB2312"/>
          <w:color w:val="auto"/>
          <w:sz w:val="32"/>
          <w:szCs w:val="32"/>
          <w:lang w:val="en-US" w:eastAsia="zh-CN"/>
        </w:rPr>
        <w:t>1988.39</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7D7515B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（三）政府性基金预算财政拨款支出决算具体情况</w:t>
      </w:r>
    </w:p>
    <w:p w14:paraId="18F70B2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default" w:ascii="仿宋_GB2312" w:hAnsi="ˎ̥" w:eastAsia="仿宋_GB2312"/>
          <w:color w:val="auto"/>
          <w:sz w:val="32"/>
          <w:szCs w:val="32"/>
          <w:lang w:val="en-US"/>
        </w:rPr>
        <w:t>2025</w:t>
      </w:r>
      <w:r>
        <w:rPr>
          <w:rFonts w:hint="eastAsia" w:ascii="仿宋_GB2312" w:hAnsi="ˎ̥" w:eastAsia="仿宋_GB2312"/>
          <w:color w:val="auto"/>
          <w:sz w:val="32"/>
          <w:szCs w:val="32"/>
        </w:rPr>
        <w:t>年度政府性基金预算财政拨款支出年初预算为</w:t>
      </w:r>
      <w:r>
        <w:rPr>
          <w:rFonts w:hint="eastAsia" w:ascii="仿宋_GB2312" w:hAnsi="ˎ̥" w:eastAsia="仿宋_GB2312"/>
          <w:color w:val="auto"/>
          <w:sz w:val="32"/>
          <w:szCs w:val="32"/>
          <w:lang w:val="en-US" w:eastAsia="zh-CN"/>
        </w:rPr>
        <w:t>1988.39</w:t>
      </w:r>
      <w:r>
        <w:rPr>
          <w:rFonts w:hint="eastAsia" w:ascii="仿宋_GB2312" w:hAnsi="ˎ̥" w:eastAsia="仿宋_GB2312"/>
          <w:color w:val="auto"/>
          <w:sz w:val="32"/>
          <w:szCs w:val="32"/>
        </w:rPr>
        <w:t>万元，支出决算为</w:t>
      </w:r>
      <w:r>
        <w:rPr>
          <w:rFonts w:hint="default" w:ascii="仿宋_GB2312" w:hAnsi="ˎ̥" w:eastAsia="仿宋_GB2312"/>
          <w:color w:val="auto"/>
          <w:sz w:val="32"/>
          <w:szCs w:val="32"/>
          <w:lang w:val="en-US"/>
        </w:rPr>
        <w:t>1,988.39</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%。其中：</w:t>
      </w:r>
    </w:p>
    <w:p w14:paraId="05F0A45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农林水支出（类）超长期特别国债安排的支出支出</w:t>
      </w:r>
      <w:r>
        <w:rPr>
          <w:rFonts w:hint="eastAsia" w:ascii="仿宋_GB2312" w:hAnsi="ˎ̥" w:eastAsia="仿宋_GB2312"/>
          <w:sz w:val="32"/>
          <w:szCs w:val="32"/>
          <w:lang w:val="en-US" w:eastAsia="zh-CN"/>
        </w:rPr>
        <w:t>1988.39</w:t>
      </w:r>
      <w:r>
        <w:rPr>
          <w:rFonts w:hint="eastAsia" w:ascii="仿宋_GB2312" w:hAnsi="ˎ̥" w:eastAsia="仿宋_GB2312"/>
          <w:sz w:val="32"/>
          <w:szCs w:val="32"/>
        </w:rPr>
        <w:t>万元，占</w:t>
      </w:r>
      <w:r>
        <w:rPr>
          <w:rFonts w:hint="eastAsia" w:ascii="仿宋_GB2312" w:hAnsi="ˎ̥" w:eastAsia="仿宋_GB2312"/>
          <w:sz w:val="32"/>
          <w:szCs w:val="32"/>
          <w:lang w:val="en-US" w:eastAsia="zh-CN"/>
        </w:rPr>
        <w:t>100</w:t>
      </w:r>
      <w:r>
        <w:rPr>
          <w:rFonts w:hint="eastAsia" w:ascii="仿宋_GB2312" w:hAnsi="ˎ̥" w:eastAsia="仿宋_GB2312"/>
          <w:sz w:val="32"/>
          <w:szCs w:val="32"/>
        </w:rPr>
        <w:t>%。</w:t>
      </w:r>
    </w:p>
    <w:p w14:paraId="60E7FDFF">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14:paraId="3698DC1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（一）国有资本经营预算财政拨款支出决算总体情况</w:t>
      </w:r>
    </w:p>
    <w:p w14:paraId="40D3436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2025</w:t>
      </w:r>
      <w:r>
        <w:rPr>
          <w:rFonts w:hint="eastAsia" w:ascii="仿宋_GB2312" w:hAnsi="ˎ̥" w:eastAsia="仿宋_GB2312"/>
          <w:sz w:val="32"/>
          <w:szCs w:val="32"/>
        </w:rPr>
        <w:t>年度</w:t>
      </w:r>
      <w:r>
        <w:rPr>
          <w:rFonts w:hint="eastAsia" w:ascii="仿宋_GB2312" w:hAnsi="ˎ̥" w:eastAsia="仿宋_GB2312"/>
          <w:sz w:val="32"/>
          <w:szCs w:val="32"/>
          <w:lang w:eastAsia="zh-CN"/>
        </w:rPr>
        <w:t>无</w:t>
      </w:r>
      <w:r>
        <w:rPr>
          <w:rFonts w:hint="eastAsia" w:ascii="仿宋_GB2312" w:hAnsi="ˎ̥" w:eastAsia="仿宋_GB2312"/>
          <w:sz w:val="32"/>
          <w:szCs w:val="32"/>
        </w:rPr>
        <w:t>国有资本经营预算财政拨款支出</w:t>
      </w:r>
    </w:p>
    <w:p w14:paraId="7A45C62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（二）国有资本经营预算财政拨款支出决算结构情况</w:t>
      </w:r>
    </w:p>
    <w:p w14:paraId="7B33F56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default" w:ascii="仿宋_GB2312" w:hAnsi="ˎ̥" w:eastAsia="仿宋_GB2312"/>
          <w:sz w:val="32"/>
          <w:szCs w:val="32"/>
          <w:lang w:val="en-US"/>
        </w:rPr>
        <w:t>2025</w:t>
      </w:r>
      <w:r>
        <w:rPr>
          <w:rFonts w:hint="eastAsia" w:ascii="仿宋_GB2312" w:hAnsi="ˎ̥" w:eastAsia="仿宋_GB2312"/>
          <w:sz w:val="32"/>
          <w:szCs w:val="32"/>
        </w:rPr>
        <w:t>年度</w:t>
      </w:r>
      <w:r>
        <w:rPr>
          <w:rFonts w:hint="eastAsia" w:ascii="仿宋_GB2312" w:hAnsi="ˎ̥" w:eastAsia="仿宋_GB2312"/>
          <w:sz w:val="32"/>
          <w:szCs w:val="32"/>
          <w:lang w:eastAsia="zh-CN"/>
        </w:rPr>
        <w:t>无</w:t>
      </w:r>
      <w:r>
        <w:rPr>
          <w:rFonts w:hint="eastAsia" w:ascii="仿宋_GB2312" w:hAnsi="ˎ̥" w:eastAsia="仿宋_GB2312"/>
          <w:sz w:val="32"/>
          <w:szCs w:val="32"/>
        </w:rPr>
        <w:t>国有资本经营预算财政拨款支出</w:t>
      </w:r>
      <w:r>
        <w:rPr>
          <w:rFonts w:hint="eastAsia" w:ascii="仿宋_GB2312" w:hAnsi="ˎ̥" w:eastAsia="仿宋_GB2312"/>
          <w:sz w:val="32"/>
          <w:szCs w:val="32"/>
          <w:lang w:eastAsia="zh-CN"/>
        </w:rPr>
        <w:t>。</w:t>
      </w:r>
    </w:p>
    <w:p w14:paraId="30DF6A3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（三）国有资本经营预算财政拨款支出决算具体情况</w:t>
      </w:r>
    </w:p>
    <w:p w14:paraId="1395C3D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b/>
          <w:sz w:val="32"/>
          <w:szCs w:val="32"/>
          <w:lang w:eastAsia="zh-CN"/>
        </w:rPr>
      </w:pPr>
      <w:r>
        <w:rPr>
          <w:rFonts w:hint="default" w:ascii="仿宋_GB2312" w:hAnsi="ˎ̥" w:eastAsia="仿宋_GB2312"/>
          <w:sz w:val="32"/>
          <w:szCs w:val="32"/>
          <w:lang w:val="en-US"/>
        </w:rPr>
        <w:t>2025</w:t>
      </w:r>
      <w:r>
        <w:rPr>
          <w:rFonts w:hint="eastAsia" w:ascii="仿宋_GB2312" w:hAnsi="ˎ̥" w:eastAsia="仿宋_GB2312"/>
          <w:sz w:val="32"/>
          <w:szCs w:val="32"/>
        </w:rPr>
        <w:t>年度</w:t>
      </w:r>
      <w:r>
        <w:rPr>
          <w:rFonts w:hint="eastAsia" w:ascii="仿宋_GB2312" w:hAnsi="ˎ̥" w:eastAsia="仿宋_GB2312"/>
          <w:sz w:val="32"/>
          <w:szCs w:val="32"/>
          <w:lang w:eastAsia="zh-CN"/>
        </w:rPr>
        <w:t>无</w:t>
      </w:r>
      <w:r>
        <w:rPr>
          <w:rFonts w:hint="eastAsia" w:ascii="仿宋_GB2312" w:hAnsi="ˎ̥" w:eastAsia="仿宋_GB2312"/>
          <w:sz w:val="32"/>
          <w:szCs w:val="32"/>
        </w:rPr>
        <w:t>国有资本经营预算财政拨款支出</w:t>
      </w:r>
      <w:r>
        <w:rPr>
          <w:rFonts w:hint="eastAsia" w:ascii="仿宋_GB2312" w:hAnsi="ˎ̥" w:eastAsia="仿宋_GB2312"/>
          <w:sz w:val="32"/>
          <w:szCs w:val="32"/>
          <w:lang w:eastAsia="zh-CN"/>
        </w:rPr>
        <w:t>。</w:t>
      </w:r>
    </w:p>
    <w:p w14:paraId="7B77EEBF">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仿宋_GB2312" w:hAnsi="ˎ̥" w:eastAsia="楷体_GB2312"/>
          <w:sz w:val="32"/>
          <w:szCs w:val="32"/>
        </w:rPr>
      </w:pPr>
      <w:r>
        <w:rPr>
          <w:rFonts w:hint="eastAsia" w:ascii="黑体" w:hAnsi="黑体" w:eastAsia="黑体" w:cs="黑体"/>
          <w:bCs/>
          <w:sz w:val="32"/>
          <w:szCs w:val="32"/>
        </w:rPr>
        <w:t>九、财政拨款“三公”经费支出决算情况说明</w:t>
      </w:r>
    </w:p>
    <w:p w14:paraId="76A4762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（一）财政拨款“三公”经费支出决算总体情况说明</w:t>
      </w:r>
    </w:p>
    <w:p w14:paraId="0488681B">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color w:val="auto"/>
          <w:sz w:val="32"/>
          <w:szCs w:val="32"/>
        </w:rPr>
      </w:pPr>
      <w:r>
        <w:rPr>
          <w:rFonts w:hint="eastAsia" w:ascii="仿宋_GB2312" w:hAnsi="ˎ̥" w:eastAsia="仿宋_GB2312"/>
          <w:sz w:val="32"/>
          <w:szCs w:val="32"/>
        </w:rPr>
        <w:t xml:space="preserve">  </w:t>
      </w:r>
      <w:r>
        <w:rPr>
          <w:rFonts w:hint="eastAsia" w:ascii="仿宋_GB2312" w:hAnsi="ˎ̥" w:eastAsia="仿宋_GB2312"/>
          <w:color w:val="auto"/>
          <w:sz w:val="32"/>
          <w:szCs w:val="32"/>
        </w:rPr>
        <w:t xml:space="preserve">  </w:t>
      </w:r>
      <w:r>
        <w:rPr>
          <w:rFonts w:hint="default" w:ascii="仿宋_GB2312" w:hAnsi="ˎ̥" w:eastAsia="仿宋_GB2312"/>
          <w:color w:val="auto"/>
          <w:sz w:val="32"/>
          <w:szCs w:val="32"/>
          <w:lang w:val="en-US"/>
        </w:rPr>
        <w:t>2025</w:t>
      </w:r>
      <w:r>
        <w:rPr>
          <w:rFonts w:hint="eastAsia" w:ascii="仿宋_GB2312" w:hAnsi="ˎ̥" w:eastAsia="仿宋_GB2312"/>
          <w:color w:val="auto"/>
          <w:sz w:val="32"/>
          <w:szCs w:val="32"/>
        </w:rPr>
        <w:t>年度财政拨款“三公”经费支出预算为</w:t>
      </w:r>
      <w:r>
        <w:rPr>
          <w:rFonts w:hint="default" w:ascii="仿宋_GB2312" w:hAnsi="ˎ̥" w:eastAsia="仿宋_GB2312"/>
          <w:color w:val="auto"/>
          <w:sz w:val="32"/>
          <w:szCs w:val="32"/>
          <w:lang w:val="en-US"/>
        </w:rPr>
        <w:t>60.27</w:t>
      </w:r>
      <w:r>
        <w:rPr>
          <w:rFonts w:hint="eastAsia" w:ascii="仿宋_GB2312" w:hAnsi="ˎ̥" w:eastAsia="仿宋_GB2312"/>
          <w:color w:val="auto"/>
          <w:sz w:val="32"/>
          <w:szCs w:val="32"/>
        </w:rPr>
        <w:t>万元，支出决算为</w:t>
      </w:r>
      <w:r>
        <w:rPr>
          <w:rFonts w:hint="default" w:ascii="仿宋_GB2312" w:hAnsi="ˎ̥" w:eastAsia="仿宋_GB2312"/>
          <w:color w:val="auto"/>
          <w:sz w:val="32"/>
          <w:szCs w:val="32"/>
          <w:lang w:val="en-US"/>
        </w:rPr>
        <w:t>60.27</w:t>
      </w:r>
      <w:r>
        <w:rPr>
          <w:rFonts w:hint="eastAsia" w:ascii="仿宋_GB2312" w:hAnsi="ˎ̥" w:eastAsia="仿宋_GB2312"/>
          <w:color w:val="auto"/>
          <w:sz w:val="32"/>
          <w:szCs w:val="32"/>
        </w:rPr>
        <w:t>万元，完成预算的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ascii="仿宋_GB2312" w:hAnsi="ˎ̥" w:eastAsia="仿宋_GB2312"/>
          <w:color w:val="auto"/>
          <w:sz w:val="32"/>
          <w:szCs w:val="32"/>
        </w:rPr>
        <w:t>与</w:t>
      </w: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w:t>
      </w:r>
      <w:r>
        <w:rPr>
          <w:rFonts w:ascii="仿宋_GB2312" w:hAnsi="ˎ̥" w:eastAsia="仿宋_GB2312"/>
          <w:color w:val="auto"/>
          <w:sz w:val="32"/>
          <w:szCs w:val="32"/>
        </w:rPr>
        <w:t>相比，</w:t>
      </w:r>
      <w:r>
        <w:rPr>
          <w:rFonts w:hint="eastAsia" w:ascii="仿宋_GB2312" w:hAnsi="ˎ̥" w:eastAsia="仿宋_GB2312"/>
          <w:color w:val="auto"/>
          <w:sz w:val="32"/>
          <w:szCs w:val="32"/>
        </w:rPr>
        <w:t>“三公”经费支出减少</w:t>
      </w:r>
      <w:r>
        <w:rPr>
          <w:rFonts w:hint="eastAsia" w:ascii="仿宋_GB2312" w:hAnsi="ˎ̥" w:eastAsia="仿宋_GB2312"/>
          <w:color w:val="auto"/>
          <w:sz w:val="32"/>
          <w:szCs w:val="32"/>
          <w:lang w:val="en-US" w:eastAsia="zh-CN"/>
        </w:rPr>
        <w:t>14.92</w:t>
      </w:r>
      <w:r>
        <w:rPr>
          <w:rFonts w:hint="eastAsia" w:ascii="仿宋_GB2312" w:hAnsi="ˎ̥" w:eastAsia="仿宋_GB2312"/>
          <w:color w:val="auto"/>
          <w:sz w:val="32"/>
          <w:szCs w:val="32"/>
        </w:rPr>
        <w:t>万元</w:t>
      </w:r>
      <w:r>
        <w:rPr>
          <w:rFonts w:ascii="仿宋_GB2312" w:hAnsi="ˎ̥" w:eastAsia="仿宋_GB2312"/>
          <w:color w:val="auto"/>
          <w:sz w:val="32"/>
          <w:szCs w:val="32"/>
        </w:rPr>
        <w:t>，</w:t>
      </w:r>
      <w:r>
        <w:rPr>
          <w:rFonts w:hint="eastAsia" w:ascii="仿宋_GB2312" w:hAnsi="ˎ̥" w:eastAsia="仿宋_GB2312"/>
          <w:color w:val="auto"/>
          <w:sz w:val="32"/>
          <w:szCs w:val="32"/>
        </w:rPr>
        <w:t>下降</w:t>
      </w:r>
      <w:r>
        <w:rPr>
          <w:rFonts w:hint="eastAsia" w:ascii="仿宋_GB2312" w:hAnsi="ˎ̥" w:eastAsia="仿宋_GB2312"/>
          <w:color w:val="auto"/>
          <w:sz w:val="32"/>
          <w:szCs w:val="32"/>
          <w:lang w:val="en-US" w:eastAsia="zh-CN"/>
        </w:rPr>
        <w:t>24.75</w:t>
      </w:r>
      <w:r>
        <w:rPr>
          <w:rFonts w:hint="eastAsia" w:ascii="仿宋_GB2312" w:hAnsi="ˎ̥" w:eastAsia="仿宋_GB2312"/>
          <w:color w:val="auto"/>
          <w:sz w:val="32"/>
          <w:szCs w:val="32"/>
        </w:rPr>
        <w:t>%，</w:t>
      </w:r>
      <w:r>
        <w:rPr>
          <w:rFonts w:ascii="仿宋_GB2312" w:hAnsi="ˎ̥" w:eastAsia="仿宋_GB2312"/>
          <w:color w:val="auto"/>
          <w:sz w:val="32"/>
          <w:szCs w:val="32"/>
        </w:rPr>
        <w:t>主要原因是</w:t>
      </w:r>
      <w:r>
        <w:rPr>
          <w:rFonts w:hint="eastAsia" w:ascii="仿宋_GB2312" w:hAnsi="ˎ̥" w:eastAsia="仿宋_GB2312"/>
          <w:color w:val="auto"/>
          <w:sz w:val="32"/>
          <w:szCs w:val="32"/>
        </w:rPr>
        <w:t>2024年财政统一追加公务用车运行维护费14.42万元，本年无追加，同期公务用车运行维护费减少。</w:t>
      </w:r>
    </w:p>
    <w:p w14:paraId="50D02361">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楷体" w:hAnsi="楷体" w:eastAsia="楷体" w:cs="楷体"/>
          <w:color w:val="auto"/>
          <w:sz w:val="32"/>
          <w:szCs w:val="32"/>
        </w:rPr>
      </w:pPr>
      <w:r>
        <w:rPr>
          <w:rFonts w:hint="eastAsia" w:ascii="楷体" w:hAnsi="楷体" w:eastAsia="楷体" w:cs="楷体"/>
          <w:b/>
          <w:bCs/>
          <w:color w:val="auto"/>
          <w:sz w:val="32"/>
          <w:szCs w:val="32"/>
        </w:rPr>
        <w:t xml:space="preserve">   </w:t>
      </w:r>
      <w:r>
        <w:rPr>
          <w:rFonts w:hint="eastAsia" w:ascii="楷体" w:hAnsi="楷体" w:eastAsia="楷体" w:cs="楷体"/>
          <w:color w:val="auto"/>
          <w:sz w:val="32"/>
          <w:szCs w:val="32"/>
        </w:rPr>
        <w:t xml:space="preserve"> （二）财政拨款“三公”经费支出决算具体情况说明</w:t>
      </w:r>
    </w:p>
    <w:p w14:paraId="09F0A99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default" w:ascii="仿宋_GB2312" w:hAnsi="ˎ̥" w:eastAsia="仿宋_GB2312"/>
          <w:color w:val="auto"/>
          <w:sz w:val="32"/>
          <w:szCs w:val="32"/>
          <w:lang w:val="en-US"/>
        </w:rPr>
        <w:t>2025</w:t>
      </w:r>
      <w:r>
        <w:rPr>
          <w:rFonts w:hint="eastAsia" w:ascii="仿宋_GB2312" w:hAnsi="ˎ̥" w:eastAsia="仿宋_GB2312"/>
          <w:color w:val="auto"/>
          <w:sz w:val="32"/>
          <w:szCs w:val="32"/>
        </w:rPr>
        <w:t>年度财政拨款“三公”经费支出决算中，</w:t>
      </w:r>
      <w:r>
        <w:rPr>
          <w:rFonts w:hint="eastAsia" w:ascii="仿宋_GB2312" w:hAnsi="ˎ̥" w:eastAsia="仿宋_GB2312"/>
          <w:color w:val="auto"/>
          <w:sz w:val="32"/>
          <w:szCs w:val="32"/>
          <w:lang w:eastAsia="zh-CN"/>
        </w:rPr>
        <w:t>无</w:t>
      </w:r>
      <w:r>
        <w:rPr>
          <w:rFonts w:hint="eastAsia" w:ascii="仿宋_GB2312" w:hAnsi="ˎ̥" w:eastAsia="仿宋_GB2312"/>
          <w:color w:val="auto"/>
          <w:sz w:val="32"/>
          <w:szCs w:val="32"/>
        </w:rPr>
        <w:t>因公出国（境）费支出；公务用车购置及运行维护费支出决算</w:t>
      </w:r>
      <w:r>
        <w:rPr>
          <w:rFonts w:hint="default" w:ascii="仿宋_GB2312" w:hAnsi="ˎ̥" w:eastAsia="仿宋_GB2312"/>
          <w:color w:val="auto"/>
          <w:sz w:val="32"/>
          <w:szCs w:val="32"/>
          <w:lang w:val="en-US"/>
        </w:rPr>
        <w:t>60.27</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无</w:t>
      </w:r>
      <w:r>
        <w:rPr>
          <w:rFonts w:hint="eastAsia" w:ascii="仿宋_GB2312" w:hAnsi="ˎ̥" w:eastAsia="仿宋_GB2312"/>
          <w:color w:val="auto"/>
          <w:sz w:val="32"/>
          <w:szCs w:val="32"/>
        </w:rPr>
        <w:t>公务接待费支出。具体情况如下：</w:t>
      </w:r>
    </w:p>
    <w:p w14:paraId="1AC1A05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color w:val="auto"/>
          <w:sz w:val="32"/>
          <w:szCs w:val="32"/>
        </w:rPr>
      </w:pPr>
      <w:r>
        <w:rPr>
          <w:rFonts w:hint="eastAsia" w:ascii="仿宋_GB2312" w:hAnsi="ˎ̥" w:eastAsia="仿宋_GB2312"/>
          <w:b/>
          <w:color w:val="auto"/>
          <w:sz w:val="32"/>
          <w:szCs w:val="32"/>
        </w:rPr>
        <w:t>1.因公出国（境）费</w:t>
      </w:r>
      <w:r>
        <w:rPr>
          <w:rFonts w:hint="eastAsia" w:ascii="仿宋_GB2312" w:hAnsi="ˎ̥" w:eastAsia="仿宋_GB2312"/>
          <w:b/>
          <w:color w:val="auto"/>
          <w:sz w:val="32"/>
          <w:szCs w:val="32"/>
          <w:lang w:eastAsia="zh-CN"/>
        </w:rPr>
        <w:t>无</w:t>
      </w:r>
      <w:r>
        <w:rPr>
          <w:rFonts w:hint="eastAsia" w:ascii="仿宋_GB2312" w:hAnsi="ˎ̥" w:eastAsia="仿宋_GB2312"/>
          <w:color w:val="auto"/>
          <w:sz w:val="32"/>
          <w:szCs w:val="32"/>
        </w:rPr>
        <w:t>支出</w:t>
      </w:r>
    </w:p>
    <w:p w14:paraId="49CCD9D5">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color w:val="auto"/>
          <w:sz w:val="32"/>
          <w:szCs w:val="32"/>
        </w:rPr>
      </w:pPr>
      <w:r>
        <w:rPr>
          <w:rFonts w:hint="eastAsia" w:ascii="仿宋_GB2312" w:hAnsi="ˎ̥" w:eastAsia="仿宋_GB2312"/>
          <w:b/>
          <w:color w:val="auto"/>
          <w:sz w:val="32"/>
          <w:szCs w:val="32"/>
        </w:rPr>
        <w:t xml:space="preserve">    2.公务用车购置及运行维护费</w:t>
      </w:r>
      <w:r>
        <w:rPr>
          <w:rFonts w:hint="eastAsia" w:ascii="仿宋_GB2312" w:hAnsi="ˎ̥" w:eastAsia="仿宋_GB2312"/>
          <w:b w:val="0"/>
          <w:bCs/>
          <w:color w:val="auto"/>
          <w:sz w:val="32"/>
          <w:szCs w:val="32"/>
        </w:rPr>
        <w:t>支出</w:t>
      </w:r>
      <w:r>
        <w:rPr>
          <w:rFonts w:hint="default" w:ascii="仿宋_GB2312" w:hAnsi="ˎ̥" w:eastAsia="仿宋_GB2312"/>
          <w:color w:val="auto"/>
          <w:sz w:val="32"/>
          <w:szCs w:val="32"/>
          <w:lang w:val="en-US"/>
        </w:rPr>
        <w:t>60.27</w:t>
      </w:r>
      <w:r>
        <w:rPr>
          <w:rFonts w:hint="eastAsia" w:ascii="仿宋_GB2312" w:hAnsi="ˎ̥" w:eastAsia="仿宋_GB2312"/>
          <w:color w:val="auto"/>
          <w:sz w:val="32"/>
          <w:szCs w:val="32"/>
        </w:rPr>
        <w:t>万元。其中：</w:t>
      </w:r>
    </w:p>
    <w:p w14:paraId="26D3ADC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b w:val="0"/>
          <w:bCs/>
          <w:color w:val="auto"/>
          <w:sz w:val="32"/>
          <w:szCs w:val="32"/>
        </w:rPr>
      </w:pPr>
      <w:r>
        <w:rPr>
          <w:rFonts w:hint="eastAsia" w:ascii="仿宋_GB2312" w:hAnsi="ˎ̥" w:eastAsia="仿宋_GB2312"/>
          <w:b/>
          <w:color w:val="auto"/>
          <w:sz w:val="32"/>
          <w:szCs w:val="32"/>
        </w:rPr>
        <w:t>公务用车购置</w:t>
      </w:r>
      <w:r>
        <w:rPr>
          <w:rFonts w:hint="eastAsia" w:ascii="仿宋_GB2312" w:hAnsi="ˎ̥" w:eastAsia="仿宋_GB2312"/>
          <w:b/>
          <w:color w:val="auto"/>
          <w:sz w:val="32"/>
          <w:szCs w:val="32"/>
          <w:lang w:eastAsia="zh-CN"/>
        </w:rPr>
        <w:t>无</w:t>
      </w:r>
      <w:r>
        <w:rPr>
          <w:rFonts w:hint="eastAsia" w:ascii="仿宋_GB2312" w:hAnsi="ˎ̥" w:eastAsia="仿宋_GB2312"/>
          <w:b w:val="0"/>
          <w:bCs/>
          <w:color w:val="auto"/>
          <w:sz w:val="32"/>
          <w:szCs w:val="32"/>
        </w:rPr>
        <w:t>支出</w:t>
      </w:r>
    </w:p>
    <w:p w14:paraId="444BCF1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bCs/>
          <w:sz w:val="32"/>
          <w:szCs w:val="32"/>
        </w:rPr>
      </w:pPr>
      <w:r>
        <w:rPr>
          <w:rFonts w:hint="eastAsia" w:ascii="仿宋_GB2312" w:hAnsi="ˎ̥" w:eastAsia="仿宋_GB2312"/>
          <w:b/>
          <w:color w:val="auto"/>
          <w:sz w:val="32"/>
          <w:szCs w:val="32"/>
        </w:rPr>
        <w:t>公务用车运行维护费</w:t>
      </w:r>
      <w:r>
        <w:rPr>
          <w:rFonts w:hint="eastAsia" w:ascii="仿宋_GB2312" w:hAnsi="ˎ̥" w:eastAsia="仿宋_GB2312"/>
          <w:color w:val="auto"/>
          <w:sz w:val="32"/>
          <w:szCs w:val="32"/>
        </w:rPr>
        <w:t>支出</w:t>
      </w:r>
      <w:r>
        <w:rPr>
          <w:rFonts w:hint="default" w:ascii="仿宋_GB2312" w:hAnsi="ˎ̥" w:eastAsia="仿宋_GB2312"/>
          <w:color w:val="auto"/>
          <w:sz w:val="32"/>
          <w:szCs w:val="32"/>
          <w:lang w:val="en-US"/>
        </w:rPr>
        <w:t>60.27</w:t>
      </w:r>
      <w:r>
        <w:rPr>
          <w:rFonts w:hint="eastAsia" w:ascii="仿宋_GB2312" w:hAnsi="ˎ̥" w:eastAsia="仿宋_GB2312"/>
          <w:color w:val="auto"/>
          <w:sz w:val="32"/>
          <w:szCs w:val="32"/>
        </w:rPr>
        <w:t>万元，主要用于</w:t>
      </w:r>
      <w:r>
        <w:rPr>
          <w:rFonts w:hint="eastAsia" w:ascii="仿宋_GB2312" w:hAnsi="ˎ̥" w:eastAsia="仿宋_GB2312"/>
          <w:color w:val="auto"/>
          <w:sz w:val="32"/>
          <w:szCs w:val="32"/>
          <w:lang w:eastAsia="zh-CN"/>
        </w:rPr>
        <w:t>油料费及修理费</w:t>
      </w:r>
      <w:r>
        <w:rPr>
          <w:rFonts w:hint="eastAsia" w:ascii="仿宋_GB2312" w:hAnsi="ˎ̥" w:eastAsia="仿宋_GB2312"/>
          <w:color w:val="auto"/>
          <w:sz w:val="32"/>
          <w:szCs w:val="32"/>
        </w:rPr>
        <w:t>。</w:t>
      </w:r>
      <w:r>
        <w:rPr>
          <w:rFonts w:hint="eastAsia" w:ascii="仿宋_GB2312" w:hAnsi="ˎ̥" w:eastAsia="仿宋_GB2312"/>
          <w:bCs/>
          <w:color w:val="auto"/>
          <w:sz w:val="32"/>
          <w:szCs w:val="32"/>
        </w:rPr>
        <w:t>公务用车购置及运行维护费支出决算数</w:t>
      </w:r>
      <w:r>
        <w:rPr>
          <w:rFonts w:hint="eastAsia" w:ascii="仿宋_GB2312" w:hAnsi="ˎ̥" w:eastAsia="仿宋_GB2312"/>
          <w:color w:val="auto"/>
          <w:sz w:val="32"/>
          <w:szCs w:val="32"/>
        </w:rPr>
        <w:t>比预算数减少</w:t>
      </w:r>
      <w:r>
        <w:rPr>
          <w:rFonts w:hint="eastAsia" w:ascii="仿宋_GB2312" w:hAnsi="ˎ̥" w:eastAsia="仿宋_GB2312"/>
          <w:color w:val="auto"/>
          <w:sz w:val="32"/>
          <w:szCs w:val="32"/>
          <w:lang w:val="en-US" w:eastAsia="zh-CN"/>
        </w:rPr>
        <w:t>14.92</w:t>
      </w:r>
      <w:r>
        <w:rPr>
          <w:rFonts w:hint="eastAsia" w:ascii="仿宋_GB2312" w:hAnsi="ˎ̥" w:eastAsia="仿宋_GB2312"/>
          <w:color w:val="auto"/>
          <w:sz w:val="32"/>
          <w:szCs w:val="32"/>
        </w:rPr>
        <w:t>万元，</w:t>
      </w:r>
      <w:r>
        <w:rPr>
          <w:rFonts w:hint="eastAsia" w:ascii="仿宋_GB2312" w:hAnsi="ˎ̥" w:eastAsia="仿宋_GB2312"/>
          <w:color w:val="auto"/>
          <w:sz w:val="32"/>
          <w:szCs w:val="32"/>
          <w:lang w:val="en-US" w:eastAsia="zh-CN"/>
        </w:rPr>
        <w:t>完成预算的100</w:t>
      </w:r>
      <w:r>
        <w:rPr>
          <w:rFonts w:hint="eastAsia" w:ascii="仿宋_GB2312" w:hAnsi="ˎ̥" w:eastAsia="仿宋_GB2312"/>
          <w:color w:val="auto"/>
          <w:sz w:val="32"/>
          <w:szCs w:val="32"/>
        </w:rPr>
        <w:t>%</w:t>
      </w:r>
      <w:r>
        <w:rPr>
          <w:rFonts w:hint="eastAsia" w:ascii="仿宋_GB2312" w:hAnsi="ˎ̥" w:eastAsia="仿宋_GB2312"/>
          <w:color w:val="auto"/>
          <w:sz w:val="32"/>
          <w:szCs w:val="32"/>
          <w:lang w:val="en-US" w:eastAsia="zh-CN"/>
        </w:rPr>
        <w:t>。</w:t>
      </w:r>
      <w:r>
        <w:rPr>
          <w:rFonts w:hint="eastAsia" w:ascii="仿宋_GB2312" w:hAnsi="ˎ̥" w:eastAsia="仿宋_GB2312"/>
          <w:color w:val="auto"/>
          <w:sz w:val="32"/>
          <w:szCs w:val="32"/>
        </w:rPr>
        <w:t>与</w:t>
      </w: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w:t>
      </w:r>
      <w:r>
        <w:rPr>
          <w:rFonts w:ascii="仿宋_GB2312" w:hAnsi="ˎ̥" w:eastAsia="仿宋_GB2312"/>
          <w:color w:val="auto"/>
          <w:sz w:val="32"/>
          <w:szCs w:val="32"/>
        </w:rPr>
        <w:t>相比，</w:t>
      </w:r>
      <w:r>
        <w:rPr>
          <w:rFonts w:hint="eastAsia" w:ascii="仿宋_GB2312" w:hAnsi="ˎ̥" w:eastAsia="仿宋_GB2312"/>
          <w:bCs/>
          <w:color w:val="auto"/>
          <w:sz w:val="32"/>
          <w:szCs w:val="32"/>
        </w:rPr>
        <w:t>公务用车购置及运行维护费</w:t>
      </w:r>
      <w:r>
        <w:rPr>
          <w:rFonts w:hint="eastAsia" w:ascii="仿宋_GB2312" w:hAnsi="ˎ̥" w:eastAsia="仿宋_GB2312"/>
          <w:color w:val="auto"/>
          <w:sz w:val="32"/>
          <w:szCs w:val="32"/>
        </w:rPr>
        <w:t>支出减少</w:t>
      </w:r>
      <w:r>
        <w:rPr>
          <w:rFonts w:hint="eastAsia" w:ascii="仿宋_GB2312" w:hAnsi="ˎ̥" w:eastAsia="仿宋_GB2312"/>
          <w:color w:val="auto"/>
          <w:sz w:val="32"/>
          <w:szCs w:val="32"/>
          <w:lang w:val="en-US" w:eastAsia="zh-CN"/>
        </w:rPr>
        <w:t>14.92</w:t>
      </w:r>
      <w:r>
        <w:rPr>
          <w:rFonts w:hint="eastAsia" w:ascii="仿宋_GB2312" w:hAnsi="ˎ̥" w:eastAsia="仿宋_GB2312"/>
          <w:color w:val="auto"/>
          <w:sz w:val="32"/>
          <w:szCs w:val="32"/>
        </w:rPr>
        <w:t>万元</w:t>
      </w:r>
      <w:r>
        <w:rPr>
          <w:rFonts w:ascii="仿宋_GB2312" w:hAnsi="ˎ̥" w:eastAsia="仿宋_GB2312"/>
          <w:color w:val="auto"/>
          <w:sz w:val="32"/>
          <w:szCs w:val="32"/>
        </w:rPr>
        <w:t>，</w:t>
      </w:r>
      <w:r>
        <w:rPr>
          <w:rFonts w:hint="eastAsia" w:ascii="仿宋_GB2312" w:hAnsi="ˎ̥" w:eastAsia="仿宋_GB2312"/>
          <w:color w:val="auto"/>
          <w:sz w:val="32"/>
          <w:szCs w:val="32"/>
        </w:rPr>
        <w:t>下降</w:t>
      </w:r>
      <w:r>
        <w:rPr>
          <w:rFonts w:hint="eastAsia" w:ascii="仿宋_GB2312" w:hAnsi="ˎ̥" w:eastAsia="仿宋_GB2312"/>
          <w:color w:val="auto"/>
          <w:sz w:val="32"/>
          <w:szCs w:val="32"/>
          <w:lang w:val="en-US" w:eastAsia="zh-CN"/>
        </w:rPr>
        <w:t>24.75</w:t>
      </w:r>
      <w:r>
        <w:rPr>
          <w:rFonts w:hint="eastAsia" w:ascii="仿宋_GB2312" w:hAnsi="ˎ̥" w:eastAsia="仿宋_GB2312"/>
          <w:color w:val="auto"/>
          <w:sz w:val="32"/>
          <w:szCs w:val="32"/>
        </w:rPr>
        <w:t>%，</w:t>
      </w:r>
      <w:r>
        <w:rPr>
          <w:rFonts w:ascii="仿宋_GB2312" w:hAnsi="ˎ̥" w:eastAsia="仿宋_GB2312"/>
          <w:color w:val="auto"/>
          <w:sz w:val="32"/>
          <w:szCs w:val="32"/>
        </w:rPr>
        <w:t>主要原因是</w:t>
      </w:r>
      <w:r>
        <w:rPr>
          <w:rFonts w:hint="eastAsia" w:ascii="仿宋_GB2312" w:hAnsi="ˎ̥" w:eastAsia="仿宋_GB2312"/>
          <w:color w:val="auto"/>
          <w:sz w:val="32"/>
          <w:szCs w:val="32"/>
        </w:rPr>
        <w:t>202</w:t>
      </w:r>
      <w:r>
        <w:rPr>
          <w:rFonts w:hint="eastAsia" w:ascii="仿宋_GB2312" w:hAnsi="ˎ̥" w:eastAsia="仿宋_GB2312"/>
          <w:sz w:val="32"/>
          <w:szCs w:val="32"/>
        </w:rPr>
        <w:t>4年财政统一追加公务用车运行维护费14.42万元，本年无追加，同期公务用车运行维护费减少。</w:t>
      </w:r>
    </w:p>
    <w:p w14:paraId="492F3E6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sz w:val="32"/>
          <w:szCs w:val="32"/>
        </w:rPr>
      </w:pPr>
      <w:r>
        <w:rPr>
          <w:rFonts w:hint="eastAsia" w:ascii="仿宋_GB2312" w:hAnsi="ˎ̥" w:eastAsia="仿宋_GB2312"/>
          <w:b/>
          <w:sz w:val="32"/>
          <w:szCs w:val="32"/>
        </w:rPr>
        <w:t xml:space="preserve">    3.公务接待费</w:t>
      </w:r>
      <w:r>
        <w:rPr>
          <w:rFonts w:hint="eastAsia" w:ascii="仿宋_GB2312" w:hAnsi="ˎ̥" w:eastAsia="仿宋_GB2312"/>
          <w:b/>
          <w:sz w:val="32"/>
          <w:szCs w:val="32"/>
          <w:lang w:eastAsia="zh-CN"/>
        </w:rPr>
        <w:t>无</w:t>
      </w:r>
      <w:r>
        <w:rPr>
          <w:rFonts w:hint="eastAsia" w:ascii="仿宋_GB2312" w:hAnsi="ˎ̥" w:eastAsia="仿宋_GB2312"/>
          <w:b w:val="0"/>
          <w:bCs/>
          <w:sz w:val="32"/>
          <w:szCs w:val="32"/>
        </w:rPr>
        <w:t>支出</w:t>
      </w:r>
    </w:p>
    <w:p w14:paraId="0286C26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十、预算绩效情况说明</w:t>
      </w:r>
    </w:p>
    <w:p w14:paraId="492D69F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（一）绩效管理工作开展情况</w:t>
      </w:r>
    </w:p>
    <w:p w14:paraId="381BB263">
      <w:pPr>
        <w:spacing w:line="578" w:lineRule="exact"/>
        <w:ind w:firstLine="640" w:firstLineChars="200"/>
        <w:jc w:val="both"/>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rPr>
        <w:t>根据预算管理要求，我单位组织对202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年度一般公共预算项目支出全面开展绩效自评。</w:t>
      </w:r>
      <w:r>
        <w:rPr>
          <w:rFonts w:hint="eastAsia" w:ascii="仿宋_GB2312" w:eastAsia="仿宋_GB2312"/>
          <w:color w:val="auto"/>
          <w:sz w:val="32"/>
          <w:szCs w:val="32"/>
          <w:highlight w:val="none"/>
          <w:lang w:bidi="ar"/>
        </w:rPr>
        <w:t>其中，一级项目</w:t>
      </w:r>
      <w:r>
        <w:rPr>
          <w:rFonts w:hint="eastAsia" w:ascii="仿宋_GB2312" w:eastAsia="仿宋_GB2312"/>
          <w:color w:val="auto"/>
          <w:sz w:val="32"/>
          <w:szCs w:val="32"/>
          <w:highlight w:val="none"/>
          <w:lang w:val="en-US" w:eastAsia="zh-CN" w:bidi="ar"/>
        </w:rPr>
        <w:t>0</w:t>
      </w:r>
      <w:r>
        <w:rPr>
          <w:rFonts w:hint="eastAsia" w:ascii="仿宋_GB2312" w:eastAsia="仿宋_GB2312"/>
          <w:color w:val="auto"/>
          <w:sz w:val="32"/>
          <w:szCs w:val="32"/>
          <w:highlight w:val="none"/>
          <w:lang w:bidi="ar"/>
        </w:rPr>
        <w:t>个，二级项目</w:t>
      </w:r>
      <w:r>
        <w:rPr>
          <w:rFonts w:hint="eastAsia" w:ascii="仿宋_GB2312" w:eastAsia="仿宋_GB2312"/>
          <w:color w:val="auto"/>
          <w:sz w:val="32"/>
          <w:szCs w:val="32"/>
          <w:highlight w:val="none"/>
          <w:lang w:val="en-US" w:eastAsia="zh-CN" w:bidi="ar"/>
        </w:rPr>
        <w:t>30</w:t>
      </w:r>
      <w:r>
        <w:rPr>
          <w:rFonts w:hint="eastAsia" w:ascii="仿宋_GB2312" w:eastAsia="仿宋_GB2312"/>
          <w:color w:val="auto"/>
          <w:sz w:val="32"/>
          <w:szCs w:val="32"/>
          <w:highlight w:val="none"/>
          <w:lang w:bidi="ar"/>
        </w:rPr>
        <w:t>个，共涉及资金</w:t>
      </w:r>
      <w:r>
        <w:rPr>
          <w:rFonts w:hint="eastAsia" w:ascii="仿宋_GB2312" w:hAnsi="ˎ̥" w:eastAsia="仿宋_GB2312"/>
          <w:color w:val="auto"/>
          <w:sz w:val="32"/>
          <w:szCs w:val="32"/>
          <w:lang w:val="en-US" w:eastAsia="zh-CN"/>
        </w:rPr>
        <w:t>3167.53万元</w:t>
      </w:r>
      <w:r>
        <w:rPr>
          <w:rFonts w:hint="eastAsia" w:ascii="仿宋_GB2312" w:eastAsia="仿宋_GB2312"/>
          <w:color w:val="auto"/>
          <w:sz w:val="32"/>
          <w:szCs w:val="32"/>
          <w:highlight w:val="none"/>
          <w:lang w:bidi="ar"/>
        </w:rPr>
        <w:t>，占</w:t>
      </w:r>
      <w:r>
        <w:rPr>
          <w:rFonts w:hint="eastAsia" w:ascii="仿宋_GB2312" w:eastAsia="仿宋_GB2312"/>
          <w:color w:val="auto"/>
          <w:sz w:val="32"/>
          <w:szCs w:val="32"/>
          <w:highlight w:val="none"/>
          <w:lang w:eastAsia="zh-CN" w:bidi="ar"/>
        </w:rPr>
        <w:t>全年</w:t>
      </w:r>
      <w:r>
        <w:rPr>
          <w:rFonts w:hint="eastAsia" w:ascii="仿宋_GB2312" w:eastAsia="仿宋_GB2312"/>
          <w:color w:val="auto"/>
          <w:sz w:val="32"/>
          <w:szCs w:val="32"/>
          <w:highlight w:val="none"/>
          <w:lang w:bidi="ar"/>
        </w:rPr>
        <w:t>预算项目支出总额的</w:t>
      </w:r>
      <w:r>
        <w:rPr>
          <w:rFonts w:hint="eastAsia" w:ascii="仿宋_GB2312" w:hAnsi="ˎ̥" w:eastAsia="仿宋_GB2312"/>
          <w:color w:val="auto"/>
          <w:sz w:val="32"/>
          <w:szCs w:val="32"/>
          <w:highlight w:val="none"/>
          <w:lang w:val="en-US" w:eastAsia="zh-CN"/>
        </w:rPr>
        <w:t>100</w:t>
      </w:r>
      <w:r>
        <w:rPr>
          <w:rFonts w:hint="eastAsia" w:ascii="仿宋_GB2312" w:eastAsia="仿宋_GB2312"/>
          <w:color w:val="auto"/>
          <w:sz w:val="32"/>
          <w:szCs w:val="32"/>
          <w:highlight w:val="none"/>
          <w:lang w:bidi="ar"/>
        </w:rPr>
        <w:t>%。</w:t>
      </w:r>
    </w:p>
    <w:p w14:paraId="40C1434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eastAsia="仿宋_GB2312"/>
          <w:b w:val="0"/>
          <w:bCs w:val="0"/>
          <w:color w:val="auto"/>
          <w:sz w:val="32"/>
          <w:szCs w:val="32"/>
          <w:highlight w:val="none"/>
          <w:lang w:val="en-US" w:eastAsia="zh-CN"/>
        </w:rPr>
      </w:pPr>
      <w:r>
        <w:rPr>
          <w:rFonts w:hint="eastAsia" w:ascii="仿宋_GB2312" w:eastAsia="仿宋_GB2312"/>
          <w:b w:val="0"/>
          <w:bCs w:val="0"/>
          <w:color w:val="auto"/>
          <w:sz w:val="32"/>
          <w:szCs w:val="32"/>
          <w:highlight w:val="none"/>
        </w:rPr>
        <w:t>从评价情况来看</w:t>
      </w:r>
      <w:r>
        <w:rPr>
          <w:rFonts w:hint="eastAsia" w:ascii="仿宋_GB2312" w:eastAsia="仿宋_GB2312"/>
          <w:b w:val="0"/>
          <w:bCs w:val="0"/>
          <w:color w:val="auto"/>
          <w:sz w:val="32"/>
          <w:szCs w:val="32"/>
          <w:highlight w:val="none"/>
          <w:lang w:val="en-US" w:eastAsia="zh-CN"/>
        </w:rPr>
        <w:t>存在以下的问题：</w:t>
      </w:r>
    </w:p>
    <w:p w14:paraId="75FC4F4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eastAsia="仿宋_GB2312"/>
          <w:b w:val="0"/>
          <w:bCs w:val="0"/>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存在问题</w:t>
      </w:r>
    </w:p>
    <w:p w14:paraId="0F779E1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1.部分资金项目因按合同约定支付，无法在2025年度内完成全部支付，调减预算,2026年以2号指标重新下达。</w:t>
      </w:r>
    </w:p>
    <w:p w14:paraId="755DC00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2.部分资金项目的招标结余年底已调减指标。</w:t>
      </w:r>
    </w:p>
    <w:p w14:paraId="3D178437">
      <w:pPr>
        <w:keepNext w:val="0"/>
        <w:keepLines w:val="0"/>
        <w:pageBreakBefore w:val="0"/>
        <w:widowControl w:val="0"/>
        <w:kinsoku/>
        <w:wordWrap/>
        <w:overflowPunct/>
        <w:topLinePunct w:val="0"/>
        <w:autoSpaceDE/>
        <w:autoSpaceDN/>
        <w:bidi w:val="0"/>
        <w:adjustRightInd/>
        <w:snapToGrid/>
        <w:spacing w:line="600" w:lineRule="exact"/>
        <w:ind w:left="17" w:leftChars="8" w:firstLine="617" w:firstLineChars="193"/>
        <w:jc w:val="both"/>
        <w:textAlignment w:val="auto"/>
        <w:outlineLvl w:val="9"/>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原因分析</w:t>
      </w:r>
    </w:p>
    <w:p w14:paraId="59CE5ED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1.由于部分资金因合同约定支付时间等情况，资金使用进度未按期达到要求。</w:t>
      </w:r>
    </w:p>
    <w:p w14:paraId="6AC56A0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2.部分工程类、政府采购专项资金项目的资金需要按照合同约定跨年支付，部分资金无法在本年度内完成支付。</w:t>
      </w:r>
    </w:p>
    <w:p w14:paraId="374167F1">
      <w:pPr>
        <w:spacing w:line="578" w:lineRule="exact"/>
        <w:ind w:firstLine="640" w:firstLineChars="200"/>
        <w:jc w:val="both"/>
        <w:rPr>
          <w:rFonts w:hint="eastAsia" w:ascii="仿宋_GB2312" w:eastAsia="仿宋_GB2312"/>
          <w:color w:val="auto"/>
          <w:sz w:val="32"/>
          <w:szCs w:val="32"/>
          <w:highlight w:val="none"/>
          <w:lang w:eastAsia="zh-CN" w:bidi="ar"/>
        </w:rPr>
      </w:pPr>
      <w:r>
        <w:rPr>
          <w:rFonts w:hint="eastAsia" w:ascii="仿宋_GB2312" w:eastAsia="仿宋_GB2312"/>
          <w:color w:val="auto"/>
          <w:sz w:val="32"/>
          <w:szCs w:val="32"/>
          <w:highlight w:val="none"/>
          <w:lang w:eastAsia="zh-CN"/>
        </w:rPr>
        <w:t>财政已组织第三方对我单位进行了</w:t>
      </w:r>
      <w:r>
        <w:rPr>
          <w:rFonts w:hint="eastAsia" w:ascii="仿宋_GB2312" w:eastAsia="仿宋_GB2312"/>
          <w:color w:val="auto"/>
          <w:sz w:val="32"/>
          <w:szCs w:val="32"/>
          <w:highlight w:val="none"/>
        </w:rPr>
        <w:t>部门整体支出绩效评价，</w:t>
      </w:r>
      <w:r>
        <w:rPr>
          <w:rFonts w:hint="eastAsia" w:ascii="仿宋_GB2312" w:eastAsia="仿宋_GB2312"/>
          <w:color w:val="auto"/>
          <w:sz w:val="32"/>
          <w:szCs w:val="32"/>
          <w:highlight w:val="none"/>
          <w:lang w:bidi="ar"/>
        </w:rPr>
        <w:t>涉及</w:t>
      </w:r>
      <w:r>
        <w:rPr>
          <w:rFonts w:hint="eastAsia" w:ascii="仿宋_GB2312" w:eastAsia="仿宋_GB2312"/>
          <w:color w:val="auto"/>
          <w:sz w:val="32"/>
          <w:szCs w:val="32"/>
          <w:highlight w:val="none"/>
          <w:lang w:eastAsia="zh-CN" w:bidi="ar"/>
        </w:rPr>
        <w:t>全部资金</w:t>
      </w:r>
      <w:r>
        <w:rPr>
          <w:rFonts w:hint="eastAsia" w:ascii="仿宋_GB2312" w:eastAsia="仿宋_GB2312"/>
          <w:color w:val="auto"/>
          <w:sz w:val="32"/>
          <w:szCs w:val="32"/>
          <w:highlight w:val="none"/>
          <w:lang w:bidi="ar"/>
        </w:rPr>
        <w:t>，</w:t>
      </w:r>
      <w:r>
        <w:rPr>
          <w:rFonts w:hint="eastAsia" w:ascii="仿宋_GB2312" w:eastAsia="仿宋_GB2312"/>
          <w:color w:val="auto"/>
          <w:sz w:val="32"/>
          <w:szCs w:val="32"/>
          <w:highlight w:val="none"/>
          <w:lang w:eastAsia="zh-CN" w:bidi="ar"/>
        </w:rPr>
        <w:t>绩效评价报告还未出具，待报告及分数出具后我单位将补公开相关资料。</w:t>
      </w:r>
    </w:p>
    <w:p w14:paraId="3B5862F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bCs/>
          <w:sz w:val="32"/>
          <w:szCs w:val="32"/>
        </w:rPr>
      </w:pPr>
      <w:r>
        <w:rPr>
          <w:rFonts w:hint="eastAsia" w:ascii="楷体" w:hAnsi="楷体" w:eastAsia="楷体" w:cs="楷体"/>
          <w:bCs/>
          <w:sz w:val="32"/>
          <w:szCs w:val="32"/>
        </w:rPr>
        <w:t>（二）部门决算中项目绩效自评结果（预算部门、单位可根据实际情况反映重点项目绩效自评结果）</w:t>
      </w:r>
    </w:p>
    <w:p w14:paraId="44744D6C">
      <w:pPr>
        <w:spacing w:line="578" w:lineRule="exact"/>
        <w:ind w:firstLine="640" w:firstLineChars="200"/>
        <w:jc w:val="both"/>
        <w:rPr>
          <w:rFonts w:hint="eastAsia" w:ascii="宋体" w:hAnsi="宋体"/>
          <w:b/>
          <w:color w:val="auto"/>
          <w:sz w:val="36"/>
          <w:szCs w:val="36"/>
          <w:lang w:eastAsia="zh-CN"/>
        </w:rPr>
      </w:pPr>
      <w:r>
        <w:rPr>
          <w:rFonts w:hint="eastAsia" w:ascii="仿宋_GB2312" w:eastAsia="仿宋_GB2312"/>
          <w:color w:val="auto"/>
          <w:sz w:val="32"/>
          <w:szCs w:val="32"/>
          <w:highlight w:val="none"/>
        </w:rPr>
        <w:t>我单位在部门决算中反映</w:t>
      </w:r>
      <w:r>
        <w:rPr>
          <w:rFonts w:hint="eastAsia" w:ascii="仿宋_GB2312" w:eastAsia="仿宋_GB2312"/>
          <w:color w:val="auto"/>
          <w:sz w:val="32"/>
          <w:szCs w:val="32"/>
          <w:highlight w:val="none"/>
          <w:lang w:eastAsia="zh-CN"/>
        </w:rPr>
        <w:t>以下一个重点项目，绩效自评如下：</w:t>
      </w:r>
      <w:r>
        <w:rPr>
          <w:rFonts w:hint="eastAsia" w:ascii="仿宋_GB2312" w:eastAsia="仿宋_GB2312"/>
          <w:color w:val="auto"/>
          <w:sz w:val="32"/>
          <w:szCs w:val="32"/>
          <w:highlight w:val="none"/>
          <w:lang w:val="en-US" w:eastAsia="zh-CN"/>
        </w:rPr>
        <w:t>昌都市弄利措水库工程</w:t>
      </w:r>
      <w:r>
        <w:rPr>
          <w:rFonts w:hint="eastAsia" w:ascii="仿宋_GB2312" w:eastAsia="仿宋_GB2312"/>
          <w:color w:val="auto"/>
          <w:sz w:val="32"/>
          <w:szCs w:val="32"/>
          <w:highlight w:val="none"/>
        </w:rPr>
        <w:t>项目绩效自评表：</w:t>
      </w:r>
    </w:p>
    <w:p w14:paraId="75167ACA">
      <w:pPr>
        <w:spacing w:line="600" w:lineRule="exact"/>
        <w:jc w:val="center"/>
        <w:rPr>
          <w:rFonts w:hint="eastAsia" w:ascii="宋体" w:hAnsi="宋体"/>
          <w:b w:val="0"/>
          <w:bCs/>
          <w:color w:val="auto"/>
          <w:sz w:val="36"/>
          <w:szCs w:val="36"/>
        </w:rPr>
      </w:pPr>
      <w:r>
        <w:rPr>
          <w:rFonts w:hint="eastAsia" w:ascii="宋体" w:hAnsi="宋体"/>
          <w:b w:val="0"/>
          <w:bCs/>
          <w:color w:val="auto"/>
          <w:sz w:val="36"/>
          <w:szCs w:val="36"/>
          <w:lang w:eastAsia="zh-CN"/>
        </w:rPr>
        <w:t>昌都市</w:t>
      </w:r>
      <w:r>
        <w:rPr>
          <w:rFonts w:hint="eastAsia" w:ascii="宋体" w:hAnsi="宋体"/>
          <w:b w:val="0"/>
          <w:bCs/>
          <w:color w:val="auto"/>
          <w:sz w:val="36"/>
          <w:szCs w:val="36"/>
          <w:lang w:val="en-US" w:eastAsia="zh-CN"/>
        </w:rPr>
        <w:t>水利局</w:t>
      </w:r>
      <w:r>
        <w:rPr>
          <w:rFonts w:hint="eastAsia" w:ascii="宋体" w:hAnsi="宋体"/>
          <w:b w:val="0"/>
          <w:bCs/>
          <w:color w:val="auto"/>
          <w:sz w:val="36"/>
          <w:szCs w:val="36"/>
        </w:rPr>
        <w:t>20</w:t>
      </w:r>
      <w:r>
        <w:rPr>
          <w:rFonts w:hint="eastAsia" w:ascii="宋体" w:hAnsi="宋体"/>
          <w:b w:val="0"/>
          <w:bCs/>
          <w:color w:val="auto"/>
          <w:sz w:val="36"/>
          <w:szCs w:val="36"/>
          <w:lang w:val="en-US" w:eastAsia="zh-CN"/>
        </w:rPr>
        <w:t>25</w:t>
      </w:r>
      <w:r>
        <w:rPr>
          <w:rFonts w:hint="eastAsia" w:ascii="宋体" w:hAnsi="宋体"/>
          <w:b w:val="0"/>
          <w:bCs/>
          <w:color w:val="auto"/>
          <w:sz w:val="36"/>
          <w:szCs w:val="36"/>
        </w:rPr>
        <w:t>年</w:t>
      </w:r>
      <w:r>
        <w:rPr>
          <w:rFonts w:hint="eastAsia" w:ascii="宋体" w:hAnsi="宋体"/>
          <w:b w:val="0"/>
          <w:bCs/>
          <w:color w:val="auto"/>
          <w:sz w:val="36"/>
          <w:szCs w:val="36"/>
          <w:lang w:eastAsia="zh-CN"/>
        </w:rPr>
        <w:t>重大</w:t>
      </w:r>
      <w:r>
        <w:rPr>
          <w:rFonts w:hint="eastAsia" w:ascii="宋体" w:hAnsi="宋体"/>
          <w:b w:val="0"/>
          <w:bCs/>
          <w:color w:val="auto"/>
          <w:sz w:val="36"/>
          <w:szCs w:val="36"/>
        </w:rPr>
        <w:t>项目支出绩效自评表</w:t>
      </w:r>
    </w:p>
    <w:p w14:paraId="69393033">
      <w:pPr>
        <w:spacing w:line="240" w:lineRule="atLeast"/>
        <w:jc w:val="center"/>
        <w:rPr>
          <w:rFonts w:hint="eastAsia" w:ascii="仿宋" w:hAnsi="仿宋" w:eastAsia="仿宋"/>
          <w:color w:val="FF0000"/>
          <w:szCs w:val="21"/>
        </w:rPr>
      </w:pPr>
    </w:p>
    <w:p w14:paraId="59266E67">
      <w:pPr>
        <w:spacing w:line="240" w:lineRule="atLeast"/>
        <w:jc w:val="both"/>
        <w:rPr>
          <w:rFonts w:hint="eastAsia" w:ascii="仿宋" w:hAnsi="仿宋" w:eastAsia="仿宋"/>
          <w:color w:val="auto"/>
          <w:szCs w:val="21"/>
        </w:rPr>
      </w:pPr>
      <w:r>
        <w:rPr>
          <w:rFonts w:hint="eastAsia" w:ascii="仿宋" w:hAnsi="仿宋" w:eastAsia="仿宋"/>
          <w:color w:val="auto"/>
          <w:szCs w:val="21"/>
        </w:rPr>
        <w:t>填报</w:t>
      </w:r>
      <w:r>
        <w:rPr>
          <w:rFonts w:hint="eastAsia" w:ascii="仿宋" w:hAnsi="仿宋" w:eastAsia="仿宋"/>
          <w:color w:val="auto"/>
          <w:szCs w:val="21"/>
          <w:lang w:eastAsia="zh-CN"/>
        </w:rPr>
        <w:t>单位：</w:t>
      </w:r>
      <w:r>
        <w:rPr>
          <w:rFonts w:hint="eastAsia" w:ascii="仿宋" w:hAnsi="仿宋" w:eastAsia="仿宋"/>
          <w:color w:val="auto"/>
          <w:szCs w:val="21"/>
          <w:lang w:val="en-US" w:eastAsia="zh-CN"/>
        </w:rPr>
        <w:t>昌都市兴水水利水电创业投资有限公司</w:t>
      </w:r>
      <w:r>
        <w:rPr>
          <w:rFonts w:hint="eastAsia" w:ascii="仿宋" w:hAnsi="仿宋" w:eastAsia="仿宋"/>
          <w:color w:val="auto"/>
          <w:szCs w:val="21"/>
        </w:rPr>
        <w:t xml:space="preserve">      </w:t>
      </w:r>
      <w:r>
        <w:rPr>
          <w:rFonts w:hint="eastAsia" w:ascii="仿宋" w:hAnsi="仿宋" w:eastAsia="仿宋"/>
          <w:color w:val="auto"/>
          <w:szCs w:val="21"/>
          <w:lang w:val="en-US" w:eastAsia="zh-CN"/>
        </w:rPr>
        <w:t xml:space="preserve">  </w:t>
      </w:r>
      <w:r>
        <w:rPr>
          <w:rFonts w:hint="eastAsia" w:ascii="仿宋" w:hAnsi="仿宋" w:eastAsia="仿宋"/>
          <w:color w:val="auto"/>
          <w:szCs w:val="21"/>
        </w:rPr>
        <w:t xml:space="preserve"> 填报日期：</w:t>
      </w:r>
      <w:r>
        <w:rPr>
          <w:rFonts w:hint="eastAsia" w:ascii="仿宋" w:hAnsi="仿宋" w:eastAsia="仿宋"/>
          <w:color w:val="auto"/>
          <w:szCs w:val="21"/>
          <w:lang w:val="en-US" w:eastAsia="zh-CN"/>
        </w:rPr>
        <w:t>2025</w:t>
      </w:r>
      <w:r>
        <w:rPr>
          <w:rFonts w:hint="eastAsia" w:ascii="仿宋" w:hAnsi="仿宋" w:eastAsia="仿宋"/>
          <w:color w:val="auto"/>
          <w:szCs w:val="21"/>
        </w:rPr>
        <w:t xml:space="preserve">年 </w:t>
      </w:r>
      <w:r>
        <w:rPr>
          <w:rFonts w:hint="eastAsia" w:ascii="仿宋" w:hAnsi="仿宋" w:eastAsia="仿宋"/>
          <w:color w:val="auto"/>
          <w:szCs w:val="21"/>
          <w:lang w:val="en-US" w:eastAsia="zh-CN"/>
        </w:rPr>
        <w:t>9</w:t>
      </w:r>
      <w:r>
        <w:rPr>
          <w:rFonts w:hint="eastAsia" w:ascii="仿宋" w:hAnsi="仿宋" w:eastAsia="仿宋"/>
          <w:color w:val="auto"/>
          <w:szCs w:val="21"/>
        </w:rPr>
        <w:t xml:space="preserve">月 </w:t>
      </w:r>
      <w:r>
        <w:rPr>
          <w:rFonts w:hint="eastAsia" w:ascii="仿宋" w:hAnsi="仿宋" w:eastAsia="仿宋"/>
          <w:color w:val="auto"/>
          <w:szCs w:val="21"/>
          <w:lang w:val="en-US" w:eastAsia="zh-CN"/>
        </w:rPr>
        <w:t>5</w:t>
      </w:r>
      <w:r>
        <w:rPr>
          <w:rFonts w:hint="eastAsia" w:ascii="仿宋" w:hAnsi="仿宋" w:eastAsia="仿宋"/>
          <w:color w:val="auto"/>
          <w:szCs w:val="21"/>
        </w:rPr>
        <w:t>日</w:t>
      </w:r>
    </w:p>
    <w:tbl>
      <w:tblPr>
        <w:tblStyle w:val="8"/>
        <w:tblW w:w="9080" w:type="dxa"/>
        <w:jc w:val="center"/>
        <w:tblLayout w:type="fixed"/>
        <w:tblCellMar>
          <w:top w:w="0" w:type="dxa"/>
          <w:left w:w="108" w:type="dxa"/>
          <w:bottom w:w="0" w:type="dxa"/>
          <w:right w:w="108" w:type="dxa"/>
        </w:tblCellMar>
      </w:tblPr>
      <w:tblGrid>
        <w:gridCol w:w="588"/>
        <w:gridCol w:w="980"/>
        <w:gridCol w:w="1112"/>
        <w:gridCol w:w="730"/>
        <w:gridCol w:w="1134"/>
        <w:gridCol w:w="289"/>
        <w:gridCol w:w="845"/>
        <w:gridCol w:w="851"/>
        <w:gridCol w:w="283"/>
        <w:gridCol w:w="284"/>
        <w:gridCol w:w="425"/>
        <w:gridCol w:w="142"/>
        <w:gridCol w:w="709"/>
        <w:gridCol w:w="708"/>
      </w:tblGrid>
      <w:tr w14:paraId="670A9829">
        <w:tblPrEx>
          <w:tblCellMar>
            <w:top w:w="0" w:type="dxa"/>
            <w:left w:w="108" w:type="dxa"/>
            <w:bottom w:w="0" w:type="dxa"/>
            <w:right w:w="108" w:type="dxa"/>
          </w:tblCellMar>
        </w:tblPrEx>
        <w:trPr>
          <w:trHeight w:val="415"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14:paraId="34D30D0C">
            <w:pPr>
              <w:widowControl/>
              <w:spacing w:line="240" w:lineRule="exact"/>
              <w:jc w:val="center"/>
              <w:rPr>
                <w:rFonts w:ascii="宋体" w:hAnsi="宋体" w:cs="宋体"/>
                <w:kern w:val="0"/>
                <w:sz w:val="18"/>
                <w:szCs w:val="18"/>
              </w:rPr>
            </w:pPr>
            <w:r>
              <w:rPr>
                <w:rFonts w:hint="eastAsia" w:ascii="宋体" w:hAnsi="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noWrap w:val="0"/>
            <w:vAlign w:val="center"/>
          </w:tcPr>
          <w:p w14:paraId="50411B46">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昌都市弄利措水库工程</w:t>
            </w:r>
          </w:p>
        </w:tc>
      </w:tr>
      <w:tr w14:paraId="610741F3">
        <w:tblPrEx>
          <w:tblCellMar>
            <w:top w:w="0" w:type="dxa"/>
            <w:left w:w="108" w:type="dxa"/>
            <w:bottom w:w="0" w:type="dxa"/>
            <w:right w:w="108" w:type="dxa"/>
          </w:tblCellMar>
        </w:tblPrEx>
        <w:trPr>
          <w:trHeight w:val="575"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14:paraId="5F7CE871">
            <w:pPr>
              <w:widowControl/>
              <w:spacing w:line="240" w:lineRule="exact"/>
              <w:jc w:val="center"/>
              <w:rPr>
                <w:rFonts w:ascii="宋体" w:hAnsi="宋体" w:cs="宋体"/>
                <w:kern w:val="0"/>
                <w:sz w:val="18"/>
                <w:szCs w:val="18"/>
              </w:rPr>
            </w:pPr>
            <w:r>
              <w:rPr>
                <w:rFonts w:hint="eastAsia" w:ascii="宋体" w:hAnsi="宋体" w:cs="宋体"/>
                <w:kern w:val="0"/>
                <w:sz w:val="18"/>
                <w:szCs w:val="18"/>
              </w:rPr>
              <w:t>主管部门</w:t>
            </w:r>
          </w:p>
        </w:tc>
        <w:tc>
          <w:tcPr>
            <w:tcW w:w="4110" w:type="dxa"/>
            <w:gridSpan w:val="5"/>
            <w:tcBorders>
              <w:top w:val="single" w:color="auto" w:sz="4" w:space="0"/>
              <w:left w:val="nil"/>
              <w:bottom w:val="single" w:color="auto" w:sz="4" w:space="0"/>
              <w:right w:val="single" w:color="auto" w:sz="4" w:space="0"/>
            </w:tcBorders>
            <w:noWrap w:val="0"/>
            <w:vAlign w:val="center"/>
          </w:tcPr>
          <w:p w14:paraId="096F123D">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昌都市水利局</w:t>
            </w:r>
          </w:p>
        </w:tc>
        <w:tc>
          <w:tcPr>
            <w:tcW w:w="1134" w:type="dxa"/>
            <w:gridSpan w:val="2"/>
            <w:tcBorders>
              <w:top w:val="nil"/>
              <w:left w:val="nil"/>
              <w:bottom w:val="single" w:color="auto" w:sz="4" w:space="0"/>
              <w:right w:val="single" w:color="auto" w:sz="4" w:space="0"/>
            </w:tcBorders>
            <w:noWrap w:val="0"/>
            <w:vAlign w:val="center"/>
          </w:tcPr>
          <w:p w14:paraId="375CD777">
            <w:pPr>
              <w:widowControl/>
              <w:spacing w:line="240" w:lineRule="exact"/>
              <w:jc w:val="center"/>
              <w:rPr>
                <w:rFonts w:ascii="宋体" w:hAnsi="宋体" w:cs="宋体"/>
                <w:kern w:val="0"/>
                <w:sz w:val="18"/>
                <w:szCs w:val="18"/>
              </w:rPr>
            </w:pPr>
            <w:r>
              <w:rPr>
                <w:rFonts w:hint="eastAsia" w:ascii="宋体" w:hAnsi="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noWrap w:val="0"/>
            <w:vAlign w:val="center"/>
          </w:tcPr>
          <w:p w14:paraId="04A39DB4">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eastAsia="zh-CN"/>
              </w:rPr>
              <w:t>昌都</w:t>
            </w:r>
            <w:r>
              <w:rPr>
                <w:rFonts w:hint="eastAsia" w:ascii="宋体" w:hAnsi="宋体" w:cs="宋体"/>
                <w:kern w:val="0"/>
                <w:sz w:val="18"/>
                <w:szCs w:val="18"/>
                <w:lang w:val="en-US" w:eastAsia="zh-CN"/>
              </w:rPr>
              <w:t>市兴水水利创业投资有限公司</w:t>
            </w:r>
          </w:p>
        </w:tc>
      </w:tr>
      <w:tr w14:paraId="71F94BDF">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73F743F">
            <w:pPr>
              <w:widowControl/>
              <w:spacing w:line="240" w:lineRule="exac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14:paraId="57D27DB0">
            <w:pPr>
              <w:widowControl/>
              <w:spacing w:line="240" w:lineRule="exact"/>
              <w:jc w:val="center"/>
              <w:rPr>
                <w:rFonts w:ascii="宋体" w:hAnsi="宋体" w:cs="宋体"/>
                <w:kern w:val="0"/>
                <w:sz w:val="18"/>
                <w:szCs w:val="18"/>
              </w:rPr>
            </w:pPr>
          </w:p>
        </w:tc>
        <w:tc>
          <w:tcPr>
            <w:tcW w:w="1134" w:type="dxa"/>
            <w:tcBorders>
              <w:top w:val="nil"/>
              <w:left w:val="nil"/>
              <w:bottom w:val="single" w:color="auto" w:sz="4" w:space="0"/>
              <w:right w:val="single" w:color="auto" w:sz="4" w:space="0"/>
            </w:tcBorders>
            <w:noWrap w:val="0"/>
            <w:vAlign w:val="center"/>
          </w:tcPr>
          <w:p w14:paraId="52D73A45">
            <w:pPr>
              <w:widowControl/>
              <w:spacing w:line="240" w:lineRule="exact"/>
              <w:jc w:val="center"/>
              <w:rPr>
                <w:rFonts w:ascii="宋体" w:hAnsi="宋体" w:cs="宋体"/>
                <w:kern w:val="0"/>
                <w:sz w:val="18"/>
                <w:szCs w:val="18"/>
              </w:rPr>
            </w:pPr>
            <w:r>
              <w:rPr>
                <w:rFonts w:hint="eastAsia" w:ascii="宋体" w:hAnsi="宋体" w:cs="宋体"/>
                <w:kern w:val="0"/>
                <w:sz w:val="18"/>
                <w:szCs w:val="18"/>
              </w:rPr>
              <w:t>年初预算数</w:t>
            </w:r>
          </w:p>
        </w:tc>
        <w:tc>
          <w:tcPr>
            <w:tcW w:w="1134" w:type="dxa"/>
            <w:gridSpan w:val="2"/>
            <w:tcBorders>
              <w:top w:val="nil"/>
              <w:left w:val="nil"/>
              <w:bottom w:val="single" w:color="auto" w:sz="4" w:space="0"/>
              <w:right w:val="single" w:color="auto" w:sz="4" w:space="0"/>
            </w:tcBorders>
            <w:noWrap w:val="0"/>
            <w:vAlign w:val="center"/>
          </w:tcPr>
          <w:p w14:paraId="4A5430F6">
            <w:pPr>
              <w:widowControl/>
              <w:spacing w:line="240" w:lineRule="exact"/>
              <w:jc w:val="center"/>
              <w:rPr>
                <w:rFonts w:ascii="宋体" w:hAnsi="宋体" w:cs="宋体"/>
                <w:kern w:val="0"/>
                <w:sz w:val="18"/>
                <w:szCs w:val="18"/>
              </w:rPr>
            </w:pPr>
            <w:r>
              <w:rPr>
                <w:rFonts w:hint="eastAsia" w:ascii="宋体" w:hAnsi="宋体" w:cs="宋体"/>
                <w:kern w:val="0"/>
                <w:sz w:val="18"/>
                <w:szCs w:val="18"/>
              </w:rPr>
              <w:t>全年预算数</w:t>
            </w:r>
          </w:p>
        </w:tc>
        <w:tc>
          <w:tcPr>
            <w:tcW w:w="1134" w:type="dxa"/>
            <w:gridSpan w:val="2"/>
            <w:tcBorders>
              <w:top w:val="nil"/>
              <w:left w:val="nil"/>
              <w:bottom w:val="single" w:color="auto" w:sz="4" w:space="0"/>
              <w:right w:val="single" w:color="auto" w:sz="4" w:space="0"/>
            </w:tcBorders>
            <w:noWrap w:val="0"/>
            <w:vAlign w:val="center"/>
          </w:tcPr>
          <w:p w14:paraId="67DEB8C1">
            <w:pPr>
              <w:widowControl/>
              <w:spacing w:line="240" w:lineRule="exact"/>
              <w:jc w:val="center"/>
              <w:rPr>
                <w:rFonts w:ascii="宋体" w:hAnsi="宋体" w:cs="宋体"/>
                <w:kern w:val="0"/>
                <w:sz w:val="18"/>
                <w:szCs w:val="18"/>
              </w:rPr>
            </w:pPr>
            <w:r>
              <w:rPr>
                <w:rFonts w:hint="eastAsia" w:ascii="宋体" w:hAnsi="宋体" w:cs="宋体"/>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14:paraId="6B30F528">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14:paraId="56CE10C4">
            <w:pPr>
              <w:widowControl/>
              <w:spacing w:line="240" w:lineRule="exact"/>
              <w:jc w:val="center"/>
              <w:rPr>
                <w:rFonts w:ascii="宋体" w:hAnsi="宋体" w:cs="宋体"/>
                <w:kern w:val="0"/>
                <w:sz w:val="18"/>
                <w:szCs w:val="18"/>
              </w:rPr>
            </w:pPr>
            <w:r>
              <w:rPr>
                <w:rFonts w:hint="eastAsia" w:ascii="宋体" w:hAnsi="宋体" w:cs="宋体"/>
                <w:kern w:val="0"/>
                <w:sz w:val="18"/>
                <w:szCs w:val="18"/>
              </w:rPr>
              <w:t>执行率</w:t>
            </w:r>
          </w:p>
        </w:tc>
        <w:tc>
          <w:tcPr>
            <w:tcW w:w="708" w:type="dxa"/>
            <w:tcBorders>
              <w:top w:val="nil"/>
              <w:left w:val="nil"/>
              <w:bottom w:val="single" w:color="auto" w:sz="4" w:space="0"/>
              <w:right w:val="single" w:color="auto" w:sz="4" w:space="0"/>
            </w:tcBorders>
            <w:noWrap w:val="0"/>
            <w:vAlign w:val="center"/>
          </w:tcPr>
          <w:p w14:paraId="25985991">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r>
      <w:tr w14:paraId="7F4192EE">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C4C0B46">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14:paraId="1BBB58BB">
            <w:pPr>
              <w:widowControl/>
              <w:spacing w:line="240" w:lineRule="exact"/>
              <w:rPr>
                <w:rFonts w:ascii="宋体" w:hAnsi="宋体" w:cs="宋体"/>
                <w:kern w:val="0"/>
                <w:sz w:val="18"/>
                <w:szCs w:val="18"/>
              </w:rPr>
            </w:pPr>
            <w:r>
              <w:rPr>
                <w:rFonts w:hint="eastAsia" w:ascii="宋体" w:hAnsi="宋体" w:cs="宋体"/>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14:paraId="08F4EF17">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1988.39</w:t>
            </w:r>
          </w:p>
        </w:tc>
        <w:tc>
          <w:tcPr>
            <w:tcW w:w="1134" w:type="dxa"/>
            <w:gridSpan w:val="2"/>
            <w:tcBorders>
              <w:top w:val="nil"/>
              <w:left w:val="nil"/>
              <w:bottom w:val="single" w:color="auto" w:sz="4" w:space="0"/>
              <w:right w:val="single" w:color="auto" w:sz="4" w:space="0"/>
            </w:tcBorders>
            <w:noWrap w:val="0"/>
            <w:vAlign w:val="center"/>
          </w:tcPr>
          <w:p w14:paraId="2F8BD914">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1988.39</w:t>
            </w:r>
          </w:p>
        </w:tc>
        <w:tc>
          <w:tcPr>
            <w:tcW w:w="1134" w:type="dxa"/>
            <w:gridSpan w:val="2"/>
            <w:tcBorders>
              <w:top w:val="nil"/>
              <w:left w:val="nil"/>
              <w:bottom w:val="single" w:color="auto" w:sz="4" w:space="0"/>
              <w:right w:val="single" w:color="auto" w:sz="4" w:space="0"/>
            </w:tcBorders>
            <w:noWrap w:val="0"/>
            <w:vAlign w:val="center"/>
          </w:tcPr>
          <w:p w14:paraId="4C57A1C1">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1988.39</w:t>
            </w:r>
          </w:p>
        </w:tc>
        <w:tc>
          <w:tcPr>
            <w:tcW w:w="709" w:type="dxa"/>
            <w:gridSpan w:val="2"/>
            <w:tcBorders>
              <w:top w:val="nil"/>
              <w:left w:val="nil"/>
              <w:bottom w:val="single" w:color="auto" w:sz="4" w:space="0"/>
              <w:right w:val="single" w:color="auto" w:sz="4" w:space="0"/>
            </w:tcBorders>
            <w:noWrap w:val="0"/>
            <w:vAlign w:val="center"/>
          </w:tcPr>
          <w:p w14:paraId="331AD00F">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noWrap w:val="0"/>
            <w:vAlign w:val="center"/>
          </w:tcPr>
          <w:p w14:paraId="3ECC3EE3">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noWrap w:val="0"/>
            <w:vAlign w:val="center"/>
          </w:tcPr>
          <w:p w14:paraId="4325B48F">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14:paraId="1AED18BC">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1BE45E8">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14:paraId="1CCD6AF6">
            <w:pPr>
              <w:widowControl/>
              <w:spacing w:line="240" w:lineRule="exact"/>
              <w:jc w:val="center"/>
              <w:rPr>
                <w:rFonts w:ascii="宋体" w:hAnsi="宋体" w:cs="宋体"/>
                <w:kern w:val="0"/>
                <w:sz w:val="18"/>
                <w:szCs w:val="18"/>
              </w:rPr>
            </w:pPr>
            <w:r>
              <w:rPr>
                <w:rFonts w:hint="eastAsia" w:ascii="宋体" w:hAnsi="宋体" w:cs="宋体"/>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14:paraId="5D092CF3">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1988.39</w:t>
            </w:r>
          </w:p>
        </w:tc>
        <w:tc>
          <w:tcPr>
            <w:tcW w:w="1134" w:type="dxa"/>
            <w:gridSpan w:val="2"/>
            <w:tcBorders>
              <w:top w:val="nil"/>
              <w:left w:val="nil"/>
              <w:bottom w:val="single" w:color="auto" w:sz="4" w:space="0"/>
              <w:right w:val="single" w:color="auto" w:sz="4" w:space="0"/>
            </w:tcBorders>
            <w:noWrap w:val="0"/>
            <w:vAlign w:val="center"/>
          </w:tcPr>
          <w:p w14:paraId="646628A7">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1988.39</w:t>
            </w:r>
          </w:p>
        </w:tc>
        <w:tc>
          <w:tcPr>
            <w:tcW w:w="1134" w:type="dxa"/>
            <w:gridSpan w:val="2"/>
            <w:tcBorders>
              <w:top w:val="nil"/>
              <w:left w:val="nil"/>
              <w:bottom w:val="single" w:color="auto" w:sz="4" w:space="0"/>
              <w:right w:val="single" w:color="auto" w:sz="4" w:space="0"/>
            </w:tcBorders>
            <w:noWrap w:val="0"/>
            <w:vAlign w:val="center"/>
          </w:tcPr>
          <w:p w14:paraId="216E3570">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1988.39</w:t>
            </w:r>
          </w:p>
        </w:tc>
        <w:tc>
          <w:tcPr>
            <w:tcW w:w="709" w:type="dxa"/>
            <w:gridSpan w:val="2"/>
            <w:tcBorders>
              <w:top w:val="nil"/>
              <w:left w:val="nil"/>
              <w:bottom w:val="single" w:color="auto" w:sz="4" w:space="0"/>
              <w:right w:val="single" w:color="auto" w:sz="4" w:space="0"/>
            </w:tcBorders>
            <w:noWrap w:val="0"/>
            <w:vAlign w:val="center"/>
          </w:tcPr>
          <w:p w14:paraId="40498DB7">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14:paraId="02E02AA8">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100%</w:t>
            </w:r>
          </w:p>
        </w:tc>
        <w:tc>
          <w:tcPr>
            <w:tcW w:w="708" w:type="dxa"/>
            <w:tcBorders>
              <w:top w:val="nil"/>
              <w:left w:val="nil"/>
              <w:bottom w:val="single" w:color="auto" w:sz="4" w:space="0"/>
              <w:right w:val="single" w:color="auto" w:sz="4" w:space="0"/>
            </w:tcBorders>
            <w:noWrap w:val="0"/>
            <w:vAlign w:val="center"/>
          </w:tcPr>
          <w:p w14:paraId="332C4905">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14:paraId="61EE704F">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B80A65C">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14:paraId="6AFE3710">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14:paraId="23C1E54A">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noWrap w:val="0"/>
            <w:vAlign w:val="center"/>
          </w:tcPr>
          <w:p w14:paraId="0765C87B">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noWrap w:val="0"/>
            <w:vAlign w:val="center"/>
          </w:tcPr>
          <w:p w14:paraId="08305340">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noWrap w:val="0"/>
            <w:vAlign w:val="center"/>
          </w:tcPr>
          <w:p w14:paraId="6441A403">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14:paraId="2FD600C8">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noWrap w:val="0"/>
            <w:vAlign w:val="center"/>
          </w:tcPr>
          <w:p w14:paraId="1A54054E">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14:paraId="1C7F8208">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0CF8300">
            <w:pPr>
              <w:widowControl/>
              <w:spacing w:line="240" w:lineRule="exact"/>
              <w:jc w:val="center"/>
              <w:rPr>
                <w:rFonts w:ascii="宋体" w:hAnsi="宋体" w:cs="宋体"/>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14:paraId="5ABCECB1">
            <w:pPr>
              <w:widowControl/>
              <w:spacing w:line="240" w:lineRule="exact"/>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14:paraId="505CE014">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noWrap w:val="0"/>
            <w:vAlign w:val="center"/>
          </w:tcPr>
          <w:p w14:paraId="27EED08A">
            <w:pPr>
              <w:widowControl/>
              <w:spacing w:line="240" w:lineRule="exact"/>
              <w:jc w:val="center"/>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noWrap w:val="0"/>
            <w:vAlign w:val="center"/>
          </w:tcPr>
          <w:p w14:paraId="1B56A410">
            <w:pPr>
              <w:widowControl/>
              <w:spacing w:line="240" w:lineRule="exact"/>
              <w:jc w:val="center"/>
              <w:rPr>
                <w:rFonts w:ascii="宋体" w:hAnsi="宋体" w:cs="宋体"/>
                <w:kern w:val="0"/>
                <w:sz w:val="18"/>
                <w:szCs w:val="18"/>
              </w:rPr>
            </w:pPr>
          </w:p>
        </w:tc>
        <w:tc>
          <w:tcPr>
            <w:tcW w:w="709" w:type="dxa"/>
            <w:gridSpan w:val="2"/>
            <w:tcBorders>
              <w:top w:val="nil"/>
              <w:left w:val="nil"/>
              <w:bottom w:val="single" w:color="auto" w:sz="4" w:space="0"/>
              <w:right w:val="single" w:color="auto" w:sz="4" w:space="0"/>
            </w:tcBorders>
            <w:noWrap w:val="0"/>
            <w:vAlign w:val="center"/>
          </w:tcPr>
          <w:p w14:paraId="6E51AA8F">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14:paraId="253267B8">
            <w:pPr>
              <w:widowControl/>
              <w:spacing w:line="240" w:lineRule="exact"/>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noWrap w:val="0"/>
            <w:vAlign w:val="center"/>
          </w:tcPr>
          <w:p w14:paraId="612C33B1">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14:paraId="00CDF4E1">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14:paraId="62D8EB15">
            <w:pPr>
              <w:widowControl/>
              <w:spacing w:line="240" w:lineRule="exact"/>
              <w:jc w:val="center"/>
              <w:rPr>
                <w:rFonts w:ascii="宋体" w:hAnsi="宋体" w:cs="宋体"/>
                <w:kern w:val="0"/>
                <w:sz w:val="18"/>
                <w:szCs w:val="18"/>
              </w:rPr>
            </w:pPr>
            <w:r>
              <w:rPr>
                <w:rFonts w:hint="eastAsia" w:ascii="宋体" w:hAnsi="宋体" w:cs="宋体"/>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noWrap w:val="0"/>
            <w:vAlign w:val="center"/>
          </w:tcPr>
          <w:p w14:paraId="77CE25A2">
            <w:pPr>
              <w:widowControl/>
              <w:spacing w:line="240" w:lineRule="exact"/>
              <w:jc w:val="center"/>
              <w:rPr>
                <w:rFonts w:ascii="宋体" w:hAnsi="宋体" w:cs="宋体"/>
                <w:kern w:val="0"/>
                <w:sz w:val="18"/>
                <w:szCs w:val="18"/>
              </w:rPr>
            </w:pPr>
            <w:r>
              <w:rPr>
                <w:rFonts w:hint="eastAsia" w:ascii="宋体" w:hAnsi="宋体" w:cs="宋体"/>
                <w:kern w:val="0"/>
                <w:sz w:val="18"/>
                <w:szCs w:val="18"/>
              </w:rPr>
              <w:t>预期目标</w:t>
            </w:r>
          </w:p>
        </w:tc>
        <w:tc>
          <w:tcPr>
            <w:tcW w:w="3402" w:type="dxa"/>
            <w:gridSpan w:val="7"/>
            <w:tcBorders>
              <w:top w:val="single" w:color="auto" w:sz="4" w:space="0"/>
              <w:left w:val="nil"/>
              <w:bottom w:val="single" w:color="auto" w:sz="4" w:space="0"/>
              <w:right w:val="single" w:color="auto" w:sz="4" w:space="0"/>
            </w:tcBorders>
            <w:noWrap w:val="0"/>
            <w:vAlign w:val="center"/>
          </w:tcPr>
          <w:p w14:paraId="361236C2">
            <w:pPr>
              <w:widowControl/>
              <w:spacing w:line="240" w:lineRule="exact"/>
              <w:jc w:val="center"/>
              <w:rPr>
                <w:rFonts w:ascii="宋体" w:hAnsi="宋体" w:cs="宋体"/>
                <w:kern w:val="0"/>
                <w:sz w:val="18"/>
                <w:szCs w:val="18"/>
              </w:rPr>
            </w:pPr>
            <w:r>
              <w:rPr>
                <w:rFonts w:hint="eastAsia" w:ascii="宋体" w:hAnsi="宋体" w:cs="宋体"/>
                <w:kern w:val="0"/>
                <w:sz w:val="18"/>
                <w:szCs w:val="18"/>
              </w:rPr>
              <w:t>实际完成情况</w:t>
            </w:r>
          </w:p>
        </w:tc>
      </w:tr>
      <w:tr w14:paraId="5343C417">
        <w:tblPrEx>
          <w:tblCellMar>
            <w:top w:w="0" w:type="dxa"/>
            <w:left w:w="108" w:type="dxa"/>
            <w:bottom w:w="0" w:type="dxa"/>
            <w:right w:w="108" w:type="dxa"/>
          </w:tblCellMar>
        </w:tblPrEx>
        <w:trPr>
          <w:trHeight w:val="957"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14:paraId="245E1AD1">
            <w:pPr>
              <w:widowControl/>
              <w:spacing w:line="240" w:lineRule="exact"/>
              <w:jc w:val="center"/>
              <w:rPr>
                <w:rFonts w:ascii="宋体" w:hAnsi="宋体" w:cs="宋体"/>
                <w:kern w:val="0"/>
                <w:sz w:val="18"/>
                <w:szCs w:val="18"/>
              </w:rPr>
            </w:pPr>
          </w:p>
        </w:tc>
        <w:tc>
          <w:tcPr>
            <w:tcW w:w="5090" w:type="dxa"/>
            <w:gridSpan w:val="6"/>
            <w:tcBorders>
              <w:top w:val="single" w:color="auto" w:sz="4" w:space="0"/>
              <w:left w:val="nil"/>
              <w:bottom w:val="single" w:color="auto" w:sz="4" w:space="0"/>
              <w:right w:val="single" w:color="auto" w:sz="4" w:space="0"/>
            </w:tcBorders>
            <w:noWrap w:val="0"/>
            <w:vAlign w:val="center"/>
          </w:tcPr>
          <w:p w14:paraId="6CEF0576">
            <w:pPr>
              <w:widowControl/>
              <w:spacing w:line="240" w:lineRule="exact"/>
              <w:jc w:val="both"/>
              <w:rPr>
                <w:rFonts w:hint="eastAsia" w:ascii="宋体" w:hAnsi="宋体" w:cs="宋体"/>
                <w:kern w:val="0"/>
                <w:sz w:val="18"/>
                <w:szCs w:val="18"/>
              </w:rPr>
            </w:pPr>
          </w:p>
          <w:p w14:paraId="2AAD8329">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建设中型水库一座，完成投资1988.39</w:t>
            </w:r>
          </w:p>
        </w:tc>
        <w:tc>
          <w:tcPr>
            <w:tcW w:w="3402" w:type="dxa"/>
            <w:gridSpan w:val="7"/>
            <w:tcBorders>
              <w:top w:val="single" w:color="auto" w:sz="4" w:space="0"/>
              <w:left w:val="nil"/>
              <w:bottom w:val="single" w:color="auto" w:sz="4" w:space="0"/>
              <w:right w:val="single" w:color="auto" w:sz="4" w:space="0"/>
            </w:tcBorders>
            <w:noWrap w:val="0"/>
            <w:vAlign w:val="center"/>
          </w:tcPr>
          <w:p w14:paraId="72BBEF96">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已完成</w:t>
            </w:r>
          </w:p>
        </w:tc>
      </w:tr>
      <w:tr w14:paraId="096FF83A">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noWrap w:val="0"/>
            <w:vAlign w:val="center"/>
          </w:tcPr>
          <w:p w14:paraId="6B2F3E15">
            <w:pPr>
              <w:widowControl/>
              <w:spacing w:line="240" w:lineRule="exac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0" w:type="dxa"/>
            <w:tcBorders>
              <w:top w:val="nil"/>
              <w:left w:val="nil"/>
              <w:bottom w:val="single" w:color="auto" w:sz="4" w:space="0"/>
              <w:right w:val="single" w:color="auto" w:sz="4" w:space="0"/>
            </w:tcBorders>
            <w:noWrap w:val="0"/>
            <w:vAlign w:val="center"/>
          </w:tcPr>
          <w:p w14:paraId="1590E709">
            <w:pPr>
              <w:widowControl/>
              <w:spacing w:line="240" w:lineRule="exact"/>
              <w:jc w:val="center"/>
              <w:rPr>
                <w:rFonts w:ascii="宋体" w:hAnsi="宋体" w:cs="宋体"/>
                <w:kern w:val="0"/>
                <w:sz w:val="18"/>
                <w:szCs w:val="18"/>
              </w:rPr>
            </w:pPr>
            <w:r>
              <w:rPr>
                <w:rFonts w:hint="eastAsia" w:ascii="宋体" w:hAnsi="宋体" w:cs="宋体"/>
                <w:kern w:val="0"/>
                <w:sz w:val="18"/>
                <w:szCs w:val="18"/>
              </w:rPr>
              <w:t>一级指标</w:t>
            </w:r>
          </w:p>
        </w:tc>
        <w:tc>
          <w:tcPr>
            <w:tcW w:w="1112" w:type="dxa"/>
            <w:tcBorders>
              <w:top w:val="nil"/>
              <w:left w:val="nil"/>
              <w:bottom w:val="single" w:color="auto" w:sz="4" w:space="0"/>
              <w:right w:val="single" w:color="auto" w:sz="4" w:space="0"/>
            </w:tcBorders>
            <w:noWrap w:val="0"/>
            <w:vAlign w:val="center"/>
          </w:tcPr>
          <w:p w14:paraId="62071FB2">
            <w:pPr>
              <w:widowControl/>
              <w:spacing w:line="240" w:lineRule="exact"/>
              <w:jc w:val="center"/>
              <w:rPr>
                <w:rFonts w:ascii="宋体" w:hAnsi="宋体" w:cs="宋体"/>
                <w:kern w:val="0"/>
                <w:sz w:val="18"/>
                <w:szCs w:val="18"/>
              </w:rPr>
            </w:pPr>
            <w:r>
              <w:rPr>
                <w:rFonts w:hint="eastAsia" w:ascii="宋体" w:hAnsi="宋体" w:cs="宋体"/>
                <w:kern w:val="0"/>
                <w:sz w:val="18"/>
                <w:szCs w:val="18"/>
              </w:rPr>
              <w:t>二级指标</w:t>
            </w:r>
          </w:p>
        </w:tc>
        <w:tc>
          <w:tcPr>
            <w:tcW w:w="2153" w:type="dxa"/>
            <w:gridSpan w:val="3"/>
            <w:tcBorders>
              <w:top w:val="single" w:color="auto" w:sz="4" w:space="0"/>
              <w:left w:val="nil"/>
              <w:bottom w:val="single" w:color="auto" w:sz="4" w:space="0"/>
              <w:right w:val="single" w:color="auto" w:sz="4" w:space="0"/>
            </w:tcBorders>
            <w:noWrap w:val="0"/>
            <w:vAlign w:val="center"/>
          </w:tcPr>
          <w:p w14:paraId="2D825FF9">
            <w:pPr>
              <w:widowControl/>
              <w:spacing w:line="240" w:lineRule="exact"/>
              <w:jc w:val="center"/>
              <w:rPr>
                <w:rFonts w:ascii="宋体" w:hAnsi="宋体" w:cs="宋体"/>
                <w:kern w:val="0"/>
                <w:sz w:val="18"/>
                <w:szCs w:val="18"/>
              </w:rPr>
            </w:pPr>
            <w:r>
              <w:rPr>
                <w:rFonts w:hint="eastAsia" w:ascii="宋体" w:hAnsi="宋体" w:cs="宋体"/>
                <w:kern w:val="0"/>
                <w:sz w:val="18"/>
                <w:szCs w:val="18"/>
              </w:rPr>
              <w:t>三级指标</w:t>
            </w:r>
          </w:p>
        </w:tc>
        <w:tc>
          <w:tcPr>
            <w:tcW w:w="845" w:type="dxa"/>
            <w:tcBorders>
              <w:top w:val="nil"/>
              <w:left w:val="nil"/>
              <w:bottom w:val="single" w:color="auto" w:sz="4" w:space="0"/>
              <w:right w:val="single" w:color="auto" w:sz="4" w:space="0"/>
            </w:tcBorders>
            <w:noWrap w:val="0"/>
            <w:vAlign w:val="center"/>
          </w:tcPr>
          <w:p w14:paraId="5C614C60">
            <w:pPr>
              <w:widowControl/>
              <w:spacing w:line="240" w:lineRule="exact"/>
              <w:jc w:val="center"/>
              <w:rPr>
                <w:rFonts w:ascii="宋体" w:hAnsi="宋体" w:cs="宋体"/>
                <w:kern w:val="0"/>
                <w:sz w:val="18"/>
                <w:szCs w:val="18"/>
              </w:rPr>
            </w:pPr>
            <w:r>
              <w:rPr>
                <w:rFonts w:hint="eastAsia" w:ascii="宋体" w:hAnsi="宋体" w:cs="宋体"/>
                <w:kern w:val="0"/>
                <w:sz w:val="18"/>
                <w:szCs w:val="18"/>
              </w:rPr>
              <w:t>年度</w:t>
            </w:r>
          </w:p>
          <w:p w14:paraId="28B9A407">
            <w:pPr>
              <w:widowControl/>
              <w:spacing w:line="240" w:lineRule="exact"/>
              <w:jc w:val="center"/>
              <w:rPr>
                <w:rFonts w:ascii="宋体" w:hAnsi="宋体" w:cs="宋体"/>
                <w:kern w:val="0"/>
                <w:sz w:val="18"/>
                <w:szCs w:val="18"/>
              </w:rPr>
            </w:pPr>
            <w:r>
              <w:rPr>
                <w:rFonts w:hint="eastAsia" w:ascii="宋体" w:hAnsi="宋体" w:cs="宋体"/>
                <w:kern w:val="0"/>
                <w:sz w:val="18"/>
                <w:szCs w:val="18"/>
              </w:rPr>
              <w:t>指标值</w:t>
            </w:r>
          </w:p>
        </w:tc>
        <w:tc>
          <w:tcPr>
            <w:tcW w:w="851" w:type="dxa"/>
            <w:tcBorders>
              <w:top w:val="nil"/>
              <w:left w:val="nil"/>
              <w:bottom w:val="single" w:color="auto" w:sz="4" w:space="0"/>
              <w:right w:val="single" w:color="auto" w:sz="4" w:space="0"/>
            </w:tcBorders>
            <w:noWrap w:val="0"/>
            <w:vAlign w:val="center"/>
          </w:tcPr>
          <w:p w14:paraId="5B6D9600">
            <w:pPr>
              <w:widowControl/>
              <w:spacing w:line="240" w:lineRule="exact"/>
              <w:jc w:val="center"/>
              <w:rPr>
                <w:rFonts w:ascii="宋体" w:hAnsi="宋体" w:cs="宋体"/>
                <w:kern w:val="0"/>
                <w:sz w:val="18"/>
                <w:szCs w:val="18"/>
              </w:rPr>
            </w:pPr>
            <w:r>
              <w:rPr>
                <w:rFonts w:hint="eastAsia" w:ascii="宋体" w:hAnsi="宋体" w:cs="宋体"/>
                <w:kern w:val="0"/>
                <w:sz w:val="18"/>
                <w:szCs w:val="18"/>
              </w:rPr>
              <w:t>实际</w:t>
            </w:r>
          </w:p>
          <w:p w14:paraId="36844640">
            <w:pPr>
              <w:widowControl/>
              <w:spacing w:line="240" w:lineRule="exact"/>
              <w:jc w:val="center"/>
              <w:rPr>
                <w:rFonts w:ascii="宋体" w:hAnsi="宋体" w:cs="宋体"/>
                <w:kern w:val="0"/>
                <w:sz w:val="18"/>
                <w:szCs w:val="18"/>
              </w:rPr>
            </w:pPr>
            <w:r>
              <w:rPr>
                <w:rFonts w:hint="eastAsia" w:ascii="宋体" w:hAnsi="宋体" w:cs="宋体"/>
                <w:kern w:val="0"/>
                <w:sz w:val="18"/>
                <w:szCs w:val="18"/>
              </w:rPr>
              <w:t>完成值</w:t>
            </w:r>
          </w:p>
        </w:tc>
        <w:tc>
          <w:tcPr>
            <w:tcW w:w="567" w:type="dxa"/>
            <w:gridSpan w:val="2"/>
            <w:tcBorders>
              <w:top w:val="nil"/>
              <w:left w:val="nil"/>
              <w:bottom w:val="single" w:color="auto" w:sz="4" w:space="0"/>
              <w:right w:val="single" w:color="auto" w:sz="4" w:space="0"/>
            </w:tcBorders>
            <w:noWrap w:val="0"/>
            <w:vAlign w:val="center"/>
          </w:tcPr>
          <w:p w14:paraId="2DCB231B">
            <w:pPr>
              <w:widowControl/>
              <w:spacing w:line="240" w:lineRule="exact"/>
              <w:jc w:val="center"/>
              <w:rPr>
                <w:rFonts w:ascii="宋体" w:hAnsi="宋体" w:cs="宋体"/>
                <w:kern w:val="0"/>
                <w:sz w:val="18"/>
                <w:szCs w:val="18"/>
              </w:rPr>
            </w:pPr>
            <w:r>
              <w:rPr>
                <w:rFonts w:hint="eastAsia" w:ascii="宋体" w:hAnsi="宋体" w:cs="宋体"/>
                <w:kern w:val="0"/>
                <w:sz w:val="18"/>
                <w:szCs w:val="18"/>
              </w:rPr>
              <w:t>分值</w:t>
            </w:r>
          </w:p>
        </w:tc>
        <w:tc>
          <w:tcPr>
            <w:tcW w:w="567" w:type="dxa"/>
            <w:gridSpan w:val="2"/>
            <w:tcBorders>
              <w:top w:val="nil"/>
              <w:left w:val="nil"/>
              <w:bottom w:val="single" w:color="auto" w:sz="4" w:space="0"/>
              <w:right w:val="single" w:color="auto" w:sz="4" w:space="0"/>
            </w:tcBorders>
            <w:noWrap w:val="0"/>
            <w:vAlign w:val="center"/>
          </w:tcPr>
          <w:p w14:paraId="5E0ADB64">
            <w:pPr>
              <w:widowControl/>
              <w:spacing w:line="240" w:lineRule="exact"/>
              <w:jc w:val="center"/>
              <w:rPr>
                <w:rFonts w:ascii="宋体" w:hAnsi="宋体" w:cs="宋体"/>
                <w:kern w:val="0"/>
                <w:sz w:val="18"/>
                <w:szCs w:val="18"/>
              </w:rPr>
            </w:pPr>
            <w:r>
              <w:rPr>
                <w:rFonts w:hint="eastAsia" w:ascii="宋体" w:hAnsi="宋体" w:cs="宋体"/>
                <w:kern w:val="0"/>
                <w:sz w:val="18"/>
                <w:szCs w:val="18"/>
              </w:rPr>
              <w:t>得分</w:t>
            </w:r>
          </w:p>
        </w:tc>
        <w:tc>
          <w:tcPr>
            <w:tcW w:w="1417" w:type="dxa"/>
            <w:gridSpan w:val="2"/>
            <w:tcBorders>
              <w:top w:val="single" w:color="auto" w:sz="4" w:space="0"/>
              <w:left w:val="nil"/>
              <w:bottom w:val="single" w:color="auto" w:sz="4" w:space="0"/>
              <w:right w:val="single" w:color="auto" w:sz="4" w:space="0"/>
            </w:tcBorders>
            <w:noWrap w:val="0"/>
            <w:vAlign w:val="center"/>
          </w:tcPr>
          <w:p w14:paraId="099B1BF9">
            <w:pPr>
              <w:widowControl/>
              <w:spacing w:line="240" w:lineRule="exact"/>
              <w:jc w:val="center"/>
              <w:rPr>
                <w:rFonts w:ascii="宋体" w:hAnsi="宋体" w:cs="宋体"/>
                <w:kern w:val="0"/>
                <w:sz w:val="18"/>
                <w:szCs w:val="18"/>
              </w:rPr>
            </w:pPr>
            <w:r>
              <w:rPr>
                <w:rFonts w:hint="eastAsia" w:ascii="宋体" w:hAnsi="宋体" w:cs="宋体"/>
                <w:kern w:val="0"/>
                <w:sz w:val="18"/>
                <w:szCs w:val="18"/>
              </w:rPr>
              <w:t>偏差原因分析及改进措施</w:t>
            </w:r>
          </w:p>
        </w:tc>
      </w:tr>
      <w:tr w14:paraId="2A7A9462">
        <w:tblPrEx>
          <w:tblCellMar>
            <w:top w:w="0" w:type="dxa"/>
            <w:left w:w="108" w:type="dxa"/>
            <w:bottom w:w="0" w:type="dxa"/>
            <w:right w:w="108" w:type="dxa"/>
          </w:tblCellMar>
        </w:tblPrEx>
        <w:trPr>
          <w:trHeight w:val="615" w:hRule="exact"/>
          <w:jc w:val="center"/>
        </w:trPr>
        <w:tc>
          <w:tcPr>
            <w:tcW w:w="588" w:type="dxa"/>
            <w:vMerge w:val="continue"/>
            <w:tcBorders>
              <w:left w:val="single" w:color="auto" w:sz="4" w:space="0"/>
              <w:right w:val="single" w:color="auto" w:sz="4" w:space="0"/>
            </w:tcBorders>
            <w:noWrap w:val="0"/>
            <w:vAlign w:val="center"/>
          </w:tcPr>
          <w:p w14:paraId="540D4F52">
            <w:pPr>
              <w:widowControl/>
              <w:spacing w:line="240" w:lineRule="exact"/>
              <w:jc w:val="center"/>
              <w:rPr>
                <w:rFonts w:ascii="宋体" w:hAnsi="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14:paraId="3AD066DF">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p w14:paraId="630D3B1F">
            <w:pPr>
              <w:widowControl/>
              <w:spacing w:line="240" w:lineRule="exact"/>
              <w:jc w:val="center"/>
              <w:rPr>
                <w:rFonts w:ascii="宋体" w:hAnsi="宋体" w:cs="宋体"/>
                <w:kern w:val="0"/>
                <w:sz w:val="18"/>
                <w:szCs w:val="18"/>
              </w:rPr>
            </w:pPr>
            <w:r>
              <w:rPr>
                <w:rFonts w:hint="eastAsia" w:ascii="宋体" w:hAnsi="宋体" w:cs="宋体"/>
                <w:kern w:val="0"/>
                <w:sz w:val="18"/>
                <w:szCs w:val="18"/>
              </w:rPr>
              <w:t>(50分)</w:t>
            </w:r>
          </w:p>
        </w:tc>
        <w:tc>
          <w:tcPr>
            <w:tcW w:w="1112" w:type="dxa"/>
            <w:tcBorders>
              <w:top w:val="nil"/>
              <w:left w:val="single" w:color="auto" w:sz="4" w:space="0"/>
              <w:bottom w:val="single" w:color="auto" w:sz="4" w:space="0"/>
              <w:right w:val="single" w:color="auto" w:sz="4" w:space="0"/>
            </w:tcBorders>
            <w:noWrap w:val="0"/>
            <w:vAlign w:val="center"/>
          </w:tcPr>
          <w:p w14:paraId="4058D46B">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质量指标</w:t>
            </w:r>
          </w:p>
        </w:tc>
        <w:tc>
          <w:tcPr>
            <w:tcW w:w="2153" w:type="dxa"/>
            <w:gridSpan w:val="3"/>
            <w:tcBorders>
              <w:top w:val="single" w:color="auto" w:sz="4" w:space="0"/>
              <w:left w:val="nil"/>
              <w:bottom w:val="single" w:color="auto" w:sz="4" w:space="0"/>
              <w:right w:val="single" w:color="auto" w:sz="4" w:space="0"/>
            </w:tcBorders>
            <w:noWrap w:val="0"/>
            <w:vAlign w:val="center"/>
          </w:tcPr>
          <w:p w14:paraId="11F293BA">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已建工程是否存在质量问题</w:t>
            </w:r>
          </w:p>
        </w:tc>
        <w:tc>
          <w:tcPr>
            <w:tcW w:w="845" w:type="dxa"/>
            <w:tcBorders>
              <w:top w:val="nil"/>
              <w:left w:val="nil"/>
              <w:bottom w:val="single" w:color="auto" w:sz="4" w:space="0"/>
              <w:right w:val="single" w:color="auto" w:sz="4" w:space="0"/>
            </w:tcBorders>
            <w:noWrap w:val="0"/>
            <w:vAlign w:val="center"/>
          </w:tcPr>
          <w:p w14:paraId="551269CD">
            <w:pPr>
              <w:widowControl/>
              <w:spacing w:line="240" w:lineRule="exact"/>
              <w:jc w:val="both"/>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851" w:type="dxa"/>
            <w:tcBorders>
              <w:top w:val="nil"/>
              <w:left w:val="nil"/>
              <w:bottom w:val="single" w:color="auto" w:sz="4" w:space="0"/>
              <w:right w:val="single" w:color="auto" w:sz="4" w:space="0"/>
            </w:tcBorders>
            <w:noWrap w:val="0"/>
            <w:vAlign w:val="center"/>
          </w:tcPr>
          <w:p w14:paraId="5703AF9C">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567" w:type="dxa"/>
            <w:gridSpan w:val="2"/>
            <w:tcBorders>
              <w:top w:val="nil"/>
              <w:left w:val="nil"/>
              <w:bottom w:val="single" w:color="auto" w:sz="4" w:space="0"/>
              <w:right w:val="single" w:color="auto" w:sz="4" w:space="0"/>
            </w:tcBorders>
            <w:noWrap w:val="0"/>
            <w:vAlign w:val="center"/>
          </w:tcPr>
          <w:p w14:paraId="2D3F74E3">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14:paraId="2A59C304">
            <w:pPr>
              <w:widowControl/>
              <w:spacing w:line="240" w:lineRule="exact"/>
              <w:jc w:val="both"/>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14:paraId="0A70631E">
            <w:pPr>
              <w:widowControl/>
              <w:spacing w:line="240" w:lineRule="exact"/>
              <w:jc w:val="center"/>
              <w:rPr>
                <w:rFonts w:hint="eastAsia" w:ascii="宋体" w:hAnsi="宋体" w:eastAsia="宋体" w:cs="宋体"/>
                <w:kern w:val="0"/>
                <w:sz w:val="18"/>
                <w:szCs w:val="18"/>
                <w:lang w:eastAsia="zh-CN"/>
              </w:rPr>
            </w:pPr>
          </w:p>
        </w:tc>
      </w:tr>
      <w:tr w14:paraId="0AD959D1">
        <w:tblPrEx>
          <w:tblCellMar>
            <w:top w:w="0" w:type="dxa"/>
            <w:left w:w="108" w:type="dxa"/>
            <w:bottom w:w="0" w:type="dxa"/>
            <w:right w:w="108" w:type="dxa"/>
          </w:tblCellMar>
        </w:tblPrEx>
        <w:trPr>
          <w:trHeight w:val="735" w:hRule="exact"/>
          <w:jc w:val="center"/>
        </w:trPr>
        <w:tc>
          <w:tcPr>
            <w:tcW w:w="588" w:type="dxa"/>
            <w:vMerge w:val="continue"/>
            <w:tcBorders>
              <w:left w:val="single" w:color="auto" w:sz="4" w:space="0"/>
              <w:right w:val="single" w:color="auto" w:sz="4" w:space="0"/>
            </w:tcBorders>
            <w:noWrap w:val="0"/>
            <w:vAlign w:val="center"/>
          </w:tcPr>
          <w:p w14:paraId="34E7EC5B">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14:paraId="6EF013FA">
            <w:pPr>
              <w:widowControl/>
              <w:spacing w:line="240" w:lineRule="exact"/>
              <w:jc w:val="center"/>
              <w:rPr>
                <w:rFonts w:ascii="宋体" w:hAnsi="宋体" w:cs="宋体"/>
                <w:kern w:val="0"/>
                <w:sz w:val="18"/>
                <w:szCs w:val="18"/>
              </w:rPr>
            </w:pPr>
          </w:p>
        </w:tc>
        <w:tc>
          <w:tcPr>
            <w:tcW w:w="1112" w:type="dxa"/>
            <w:tcBorders>
              <w:top w:val="nil"/>
              <w:left w:val="single" w:color="auto" w:sz="4" w:space="0"/>
              <w:right w:val="single" w:color="auto" w:sz="4" w:space="0"/>
            </w:tcBorders>
            <w:noWrap w:val="0"/>
            <w:vAlign w:val="center"/>
          </w:tcPr>
          <w:p w14:paraId="56466F13">
            <w:pPr>
              <w:widowControl/>
              <w:spacing w:line="240" w:lineRule="exact"/>
              <w:jc w:val="center"/>
              <w:rPr>
                <w:rFonts w:ascii="宋体" w:hAnsi="宋体" w:cs="宋体"/>
                <w:kern w:val="0"/>
                <w:sz w:val="18"/>
                <w:szCs w:val="18"/>
              </w:rPr>
            </w:pPr>
            <w:r>
              <w:rPr>
                <w:rFonts w:hint="eastAsia" w:ascii="宋体" w:hAnsi="宋体" w:cs="宋体"/>
                <w:kern w:val="0"/>
                <w:sz w:val="18"/>
                <w:szCs w:val="18"/>
              </w:rPr>
              <w:t>质量指标</w:t>
            </w:r>
          </w:p>
        </w:tc>
        <w:tc>
          <w:tcPr>
            <w:tcW w:w="2153" w:type="dxa"/>
            <w:gridSpan w:val="3"/>
            <w:tcBorders>
              <w:top w:val="single" w:color="auto" w:sz="4" w:space="0"/>
              <w:left w:val="nil"/>
              <w:bottom w:val="single" w:color="auto" w:sz="4" w:space="0"/>
              <w:right w:val="single" w:color="auto" w:sz="4" w:space="0"/>
            </w:tcBorders>
            <w:noWrap w:val="0"/>
            <w:vAlign w:val="center"/>
          </w:tcPr>
          <w:p w14:paraId="5ED3909A">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不发生安全事故</w:t>
            </w:r>
          </w:p>
        </w:tc>
        <w:tc>
          <w:tcPr>
            <w:tcW w:w="845" w:type="dxa"/>
            <w:tcBorders>
              <w:top w:val="nil"/>
              <w:left w:val="nil"/>
              <w:bottom w:val="single" w:color="auto" w:sz="4" w:space="0"/>
              <w:right w:val="single" w:color="auto" w:sz="4" w:space="0"/>
            </w:tcBorders>
            <w:noWrap w:val="0"/>
            <w:vAlign w:val="center"/>
          </w:tcPr>
          <w:p w14:paraId="662D4AEF">
            <w:pPr>
              <w:widowControl/>
              <w:spacing w:line="240" w:lineRule="exact"/>
              <w:jc w:val="both"/>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851" w:type="dxa"/>
            <w:tcBorders>
              <w:top w:val="nil"/>
              <w:left w:val="nil"/>
              <w:bottom w:val="single" w:color="auto" w:sz="4" w:space="0"/>
              <w:right w:val="single" w:color="auto" w:sz="4" w:space="0"/>
            </w:tcBorders>
            <w:noWrap w:val="0"/>
            <w:vAlign w:val="center"/>
          </w:tcPr>
          <w:p w14:paraId="7DE55E0C">
            <w:pPr>
              <w:widowControl/>
              <w:spacing w:line="240" w:lineRule="exact"/>
              <w:jc w:val="both"/>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567" w:type="dxa"/>
            <w:gridSpan w:val="2"/>
            <w:tcBorders>
              <w:top w:val="nil"/>
              <w:left w:val="nil"/>
              <w:bottom w:val="single" w:color="auto" w:sz="4" w:space="0"/>
              <w:right w:val="single" w:color="auto" w:sz="4" w:space="0"/>
            </w:tcBorders>
            <w:noWrap w:val="0"/>
            <w:vAlign w:val="center"/>
          </w:tcPr>
          <w:p w14:paraId="2A504EE0">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14:paraId="3C986FCE">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14:paraId="12C2241D">
            <w:pPr>
              <w:widowControl/>
              <w:spacing w:line="240" w:lineRule="exact"/>
              <w:jc w:val="center"/>
              <w:rPr>
                <w:rFonts w:ascii="宋体" w:hAnsi="宋体" w:cs="宋体"/>
                <w:kern w:val="0"/>
                <w:sz w:val="18"/>
                <w:szCs w:val="18"/>
              </w:rPr>
            </w:pPr>
          </w:p>
        </w:tc>
      </w:tr>
      <w:tr w14:paraId="324C61C5">
        <w:tblPrEx>
          <w:tblCellMar>
            <w:top w:w="0" w:type="dxa"/>
            <w:left w:w="108" w:type="dxa"/>
            <w:bottom w:w="0" w:type="dxa"/>
            <w:right w:w="108" w:type="dxa"/>
          </w:tblCellMar>
        </w:tblPrEx>
        <w:trPr>
          <w:trHeight w:val="735" w:hRule="exact"/>
          <w:jc w:val="center"/>
        </w:trPr>
        <w:tc>
          <w:tcPr>
            <w:tcW w:w="588" w:type="dxa"/>
            <w:vMerge w:val="continue"/>
            <w:tcBorders>
              <w:left w:val="single" w:color="auto" w:sz="4" w:space="0"/>
              <w:right w:val="single" w:color="auto" w:sz="4" w:space="0"/>
            </w:tcBorders>
            <w:noWrap w:val="0"/>
            <w:vAlign w:val="center"/>
          </w:tcPr>
          <w:p w14:paraId="49A789E1">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14:paraId="28B8196E">
            <w:pPr>
              <w:widowControl/>
              <w:spacing w:line="240" w:lineRule="exact"/>
              <w:jc w:val="center"/>
              <w:rPr>
                <w:rFonts w:ascii="宋体" w:hAnsi="宋体" w:cs="宋体"/>
                <w:kern w:val="0"/>
                <w:sz w:val="18"/>
                <w:szCs w:val="18"/>
              </w:rPr>
            </w:pPr>
          </w:p>
        </w:tc>
        <w:tc>
          <w:tcPr>
            <w:tcW w:w="1112" w:type="dxa"/>
            <w:vMerge w:val="restart"/>
            <w:tcBorders>
              <w:top w:val="single" w:color="auto" w:sz="4" w:space="0"/>
              <w:left w:val="single" w:color="auto" w:sz="4" w:space="0"/>
              <w:right w:val="single" w:color="auto" w:sz="4" w:space="0"/>
            </w:tcBorders>
            <w:noWrap w:val="0"/>
            <w:vAlign w:val="center"/>
          </w:tcPr>
          <w:p w14:paraId="3851B021">
            <w:pPr>
              <w:widowControl/>
              <w:spacing w:line="240" w:lineRule="exact"/>
              <w:jc w:val="center"/>
              <w:rPr>
                <w:rFonts w:ascii="宋体" w:hAnsi="宋体" w:cs="宋体"/>
                <w:kern w:val="0"/>
                <w:sz w:val="18"/>
                <w:szCs w:val="18"/>
              </w:rPr>
            </w:pPr>
            <w:r>
              <w:rPr>
                <w:rFonts w:hint="eastAsia" w:ascii="宋体" w:hAnsi="宋体" w:cs="宋体"/>
                <w:kern w:val="0"/>
                <w:sz w:val="18"/>
                <w:szCs w:val="18"/>
              </w:rPr>
              <w:t>时效指标</w:t>
            </w:r>
          </w:p>
        </w:tc>
        <w:tc>
          <w:tcPr>
            <w:tcW w:w="2153" w:type="dxa"/>
            <w:gridSpan w:val="3"/>
            <w:tcBorders>
              <w:top w:val="single" w:color="auto" w:sz="4" w:space="0"/>
              <w:left w:val="nil"/>
              <w:bottom w:val="single" w:color="auto" w:sz="4" w:space="0"/>
              <w:right w:val="single" w:color="auto" w:sz="4" w:space="0"/>
            </w:tcBorders>
            <w:noWrap w:val="0"/>
            <w:vAlign w:val="center"/>
          </w:tcPr>
          <w:p w14:paraId="482B0D55">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截止当年年底，投资完成</w:t>
            </w:r>
          </w:p>
        </w:tc>
        <w:tc>
          <w:tcPr>
            <w:tcW w:w="845" w:type="dxa"/>
            <w:tcBorders>
              <w:top w:val="nil"/>
              <w:left w:val="nil"/>
              <w:bottom w:val="single" w:color="auto" w:sz="4" w:space="0"/>
              <w:right w:val="single" w:color="auto" w:sz="4" w:space="0"/>
            </w:tcBorders>
            <w:noWrap w:val="0"/>
            <w:vAlign w:val="center"/>
          </w:tcPr>
          <w:p w14:paraId="26C7CD31">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851" w:type="dxa"/>
            <w:tcBorders>
              <w:top w:val="nil"/>
              <w:left w:val="nil"/>
              <w:bottom w:val="single" w:color="auto" w:sz="4" w:space="0"/>
              <w:right w:val="single" w:color="auto" w:sz="4" w:space="0"/>
            </w:tcBorders>
            <w:noWrap w:val="0"/>
            <w:vAlign w:val="center"/>
          </w:tcPr>
          <w:p w14:paraId="77C57872">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567" w:type="dxa"/>
            <w:gridSpan w:val="2"/>
            <w:tcBorders>
              <w:top w:val="nil"/>
              <w:left w:val="nil"/>
              <w:bottom w:val="single" w:color="auto" w:sz="4" w:space="0"/>
              <w:right w:val="single" w:color="auto" w:sz="4" w:space="0"/>
            </w:tcBorders>
            <w:noWrap w:val="0"/>
            <w:vAlign w:val="center"/>
          </w:tcPr>
          <w:p w14:paraId="078AC8D2">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14:paraId="6F35FCAC">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14:paraId="2E65A647">
            <w:pPr>
              <w:widowControl/>
              <w:spacing w:line="240" w:lineRule="exact"/>
              <w:jc w:val="center"/>
              <w:rPr>
                <w:rFonts w:ascii="宋体" w:hAnsi="宋体" w:cs="宋体"/>
                <w:kern w:val="0"/>
                <w:sz w:val="18"/>
                <w:szCs w:val="18"/>
              </w:rPr>
            </w:pPr>
          </w:p>
        </w:tc>
      </w:tr>
      <w:tr w14:paraId="4B7756AD">
        <w:tblPrEx>
          <w:tblCellMar>
            <w:top w:w="0" w:type="dxa"/>
            <w:left w:w="108" w:type="dxa"/>
            <w:bottom w:w="0" w:type="dxa"/>
            <w:right w:w="108" w:type="dxa"/>
          </w:tblCellMar>
        </w:tblPrEx>
        <w:trPr>
          <w:trHeight w:val="735" w:hRule="exact"/>
          <w:jc w:val="center"/>
        </w:trPr>
        <w:tc>
          <w:tcPr>
            <w:tcW w:w="588" w:type="dxa"/>
            <w:vMerge w:val="continue"/>
            <w:tcBorders>
              <w:left w:val="single" w:color="auto" w:sz="4" w:space="0"/>
              <w:right w:val="single" w:color="auto" w:sz="4" w:space="0"/>
            </w:tcBorders>
            <w:noWrap w:val="0"/>
            <w:vAlign w:val="center"/>
          </w:tcPr>
          <w:p w14:paraId="55546787">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14:paraId="2933552D">
            <w:pPr>
              <w:widowControl/>
              <w:spacing w:line="240" w:lineRule="exact"/>
              <w:jc w:val="center"/>
              <w:rPr>
                <w:rFonts w:ascii="宋体" w:hAnsi="宋体" w:cs="宋体"/>
                <w:kern w:val="0"/>
                <w:sz w:val="18"/>
                <w:szCs w:val="18"/>
              </w:rPr>
            </w:pPr>
          </w:p>
        </w:tc>
        <w:tc>
          <w:tcPr>
            <w:tcW w:w="1112" w:type="dxa"/>
            <w:vMerge w:val="continue"/>
            <w:tcBorders>
              <w:left w:val="single" w:color="auto" w:sz="4" w:space="0"/>
              <w:bottom w:val="single" w:color="auto" w:sz="4" w:space="0"/>
              <w:right w:val="single" w:color="auto" w:sz="4" w:space="0"/>
            </w:tcBorders>
            <w:noWrap w:val="0"/>
            <w:vAlign w:val="center"/>
          </w:tcPr>
          <w:p w14:paraId="327A444F">
            <w:pPr>
              <w:widowControl/>
              <w:spacing w:line="240" w:lineRule="exact"/>
              <w:jc w:val="center"/>
              <w:rPr>
                <w:rFonts w:hint="eastAsia" w:ascii="宋体" w:hAnsi="宋体" w:cs="宋体"/>
                <w:kern w:val="0"/>
                <w:sz w:val="18"/>
                <w:szCs w:val="18"/>
              </w:rPr>
            </w:pPr>
          </w:p>
        </w:tc>
        <w:tc>
          <w:tcPr>
            <w:tcW w:w="2153" w:type="dxa"/>
            <w:gridSpan w:val="3"/>
            <w:tcBorders>
              <w:top w:val="single" w:color="auto" w:sz="4" w:space="0"/>
              <w:left w:val="nil"/>
              <w:bottom w:val="single" w:color="auto" w:sz="4" w:space="0"/>
              <w:right w:val="single" w:color="auto" w:sz="4" w:space="0"/>
            </w:tcBorders>
            <w:noWrap w:val="0"/>
            <w:vAlign w:val="center"/>
          </w:tcPr>
          <w:p w14:paraId="3B920C76">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款项及时支付时效性</w:t>
            </w:r>
          </w:p>
        </w:tc>
        <w:tc>
          <w:tcPr>
            <w:tcW w:w="845" w:type="dxa"/>
            <w:tcBorders>
              <w:top w:val="nil"/>
              <w:left w:val="nil"/>
              <w:bottom w:val="single" w:color="auto" w:sz="4" w:space="0"/>
              <w:right w:val="single" w:color="auto" w:sz="4" w:space="0"/>
            </w:tcBorders>
            <w:noWrap w:val="0"/>
            <w:vAlign w:val="center"/>
          </w:tcPr>
          <w:p w14:paraId="00409ABB">
            <w:pPr>
              <w:widowControl/>
              <w:spacing w:line="240" w:lineRule="exact"/>
              <w:jc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100</w:t>
            </w:r>
          </w:p>
        </w:tc>
        <w:tc>
          <w:tcPr>
            <w:tcW w:w="851" w:type="dxa"/>
            <w:tcBorders>
              <w:top w:val="nil"/>
              <w:left w:val="nil"/>
              <w:bottom w:val="single" w:color="auto" w:sz="4" w:space="0"/>
              <w:right w:val="single" w:color="auto" w:sz="4" w:space="0"/>
            </w:tcBorders>
            <w:noWrap w:val="0"/>
            <w:vAlign w:val="center"/>
          </w:tcPr>
          <w:p w14:paraId="153C5ACD">
            <w:pPr>
              <w:widowControl/>
              <w:spacing w:line="240" w:lineRule="exact"/>
              <w:jc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100</w:t>
            </w:r>
          </w:p>
        </w:tc>
        <w:tc>
          <w:tcPr>
            <w:tcW w:w="567" w:type="dxa"/>
            <w:gridSpan w:val="2"/>
            <w:tcBorders>
              <w:top w:val="nil"/>
              <w:left w:val="nil"/>
              <w:bottom w:val="single" w:color="auto" w:sz="4" w:space="0"/>
              <w:right w:val="single" w:color="auto" w:sz="4" w:space="0"/>
            </w:tcBorders>
            <w:noWrap w:val="0"/>
            <w:vAlign w:val="center"/>
          </w:tcPr>
          <w:p w14:paraId="448C7841">
            <w:pPr>
              <w:widowControl/>
              <w:spacing w:line="240" w:lineRule="exact"/>
              <w:jc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14:paraId="72625BF6">
            <w:pPr>
              <w:widowControl/>
              <w:spacing w:line="240" w:lineRule="exact"/>
              <w:jc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14:paraId="3B7C27C1">
            <w:pPr>
              <w:widowControl/>
              <w:spacing w:line="240" w:lineRule="exact"/>
              <w:jc w:val="center"/>
              <w:rPr>
                <w:rFonts w:ascii="宋体" w:hAnsi="宋体" w:cs="宋体"/>
                <w:kern w:val="0"/>
                <w:sz w:val="18"/>
                <w:szCs w:val="18"/>
              </w:rPr>
            </w:pPr>
          </w:p>
        </w:tc>
      </w:tr>
      <w:tr w14:paraId="5D50B499">
        <w:tblPrEx>
          <w:tblCellMar>
            <w:top w:w="0" w:type="dxa"/>
            <w:left w:w="108" w:type="dxa"/>
            <w:bottom w:w="0" w:type="dxa"/>
            <w:right w:w="108" w:type="dxa"/>
          </w:tblCellMar>
        </w:tblPrEx>
        <w:trPr>
          <w:trHeight w:val="675" w:hRule="exact"/>
          <w:jc w:val="center"/>
        </w:trPr>
        <w:tc>
          <w:tcPr>
            <w:tcW w:w="588" w:type="dxa"/>
            <w:vMerge w:val="continue"/>
            <w:tcBorders>
              <w:left w:val="single" w:color="auto" w:sz="4" w:space="0"/>
              <w:right w:val="single" w:color="auto" w:sz="4" w:space="0"/>
            </w:tcBorders>
            <w:noWrap w:val="0"/>
            <w:vAlign w:val="center"/>
          </w:tcPr>
          <w:p w14:paraId="123AABE1">
            <w:pPr>
              <w:widowControl/>
              <w:spacing w:line="240" w:lineRule="exact"/>
              <w:jc w:val="center"/>
              <w:rPr>
                <w:rFonts w:ascii="宋体" w:hAnsi="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14:paraId="71673D3D">
            <w:pPr>
              <w:widowControl/>
              <w:spacing w:line="240" w:lineRule="exact"/>
              <w:jc w:val="center"/>
              <w:rPr>
                <w:rFonts w:ascii="宋体" w:hAnsi="宋体" w:cs="宋体"/>
                <w:kern w:val="0"/>
                <w:sz w:val="18"/>
                <w:szCs w:val="18"/>
              </w:rPr>
            </w:pPr>
          </w:p>
        </w:tc>
        <w:tc>
          <w:tcPr>
            <w:tcW w:w="1112" w:type="dxa"/>
            <w:tcBorders>
              <w:top w:val="single" w:color="auto" w:sz="4" w:space="0"/>
              <w:left w:val="single" w:color="auto" w:sz="4" w:space="0"/>
              <w:bottom w:val="single" w:color="auto" w:sz="4" w:space="0"/>
              <w:right w:val="single" w:color="auto" w:sz="4" w:space="0"/>
            </w:tcBorders>
            <w:noWrap w:val="0"/>
            <w:vAlign w:val="center"/>
          </w:tcPr>
          <w:p w14:paraId="209CF36A">
            <w:pPr>
              <w:widowControl/>
              <w:spacing w:line="240" w:lineRule="exact"/>
              <w:jc w:val="center"/>
              <w:rPr>
                <w:rFonts w:ascii="宋体" w:hAnsi="宋体" w:cs="宋体"/>
                <w:kern w:val="0"/>
                <w:sz w:val="18"/>
                <w:szCs w:val="18"/>
              </w:rPr>
            </w:pPr>
            <w:r>
              <w:rPr>
                <w:rFonts w:hint="eastAsia" w:ascii="宋体" w:hAnsi="宋体" w:cs="宋体"/>
                <w:kern w:val="0"/>
                <w:sz w:val="18"/>
                <w:szCs w:val="18"/>
              </w:rPr>
              <w:t>成本指标</w:t>
            </w:r>
          </w:p>
        </w:tc>
        <w:tc>
          <w:tcPr>
            <w:tcW w:w="2153" w:type="dxa"/>
            <w:gridSpan w:val="3"/>
            <w:tcBorders>
              <w:top w:val="single" w:color="auto" w:sz="4" w:space="0"/>
              <w:left w:val="nil"/>
              <w:bottom w:val="single" w:color="auto" w:sz="4" w:space="0"/>
              <w:right w:val="single" w:color="auto" w:sz="4" w:space="0"/>
            </w:tcBorders>
            <w:noWrap w:val="0"/>
            <w:vAlign w:val="center"/>
          </w:tcPr>
          <w:p w14:paraId="1248D03B">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保存在预算内</w:t>
            </w:r>
            <w:r>
              <w:rPr>
                <w:rFonts w:hint="default" w:ascii="Arial" w:hAnsi="Arial" w:cs="Arial"/>
                <w:kern w:val="0"/>
                <w:sz w:val="18"/>
                <w:szCs w:val="18"/>
                <w:lang w:val="en-US" w:eastAsia="zh-CN"/>
              </w:rPr>
              <w:t>≤</w:t>
            </w:r>
            <w:r>
              <w:rPr>
                <w:rFonts w:hint="eastAsia" w:ascii="Arial" w:hAnsi="Arial" w:cs="Arial"/>
                <w:kern w:val="0"/>
                <w:sz w:val="18"/>
                <w:szCs w:val="18"/>
                <w:lang w:val="en-US" w:eastAsia="zh-CN"/>
              </w:rPr>
              <w:t>21100</w:t>
            </w:r>
            <w:r>
              <w:rPr>
                <w:rFonts w:hint="eastAsia" w:ascii="宋体" w:hAnsi="宋体" w:cs="宋体"/>
                <w:kern w:val="0"/>
                <w:sz w:val="18"/>
                <w:szCs w:val="18"/>
                <w:lang w:val="en-US" w:eastAsia="zh-CN"/>
              </w:rPr>
              <w:t>万元</w:t>
            </w:r>
          </w:p>
        </w:tc>
        <w:tc>
          <w:tcPr>
            <w:tcW w:w="845" w:type="dxa"/>
            <w:tcBorders>
              <w:top w:val="nil"/>
              <w:left w:val="nil"/>
              <w:bottom w:val="single" w:color="auto" w:sz="4" w:space="0"/>
              <w:right w:val="single" w:color="auto" w:sz="4" w:space="0"/>
            </w:tcBorders>
            <w:noWrap w:val="0"/>
            <w:vAlign w:val="center"/>
          </w:tcPr>
          <w:p w14:paraId="0067C4EF">
            <w:pPr>
              <w:widowControl/>
              <w:spacing w:line="240" w:lineRule="exact"/>
              <w:jc w:val="both"/>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851" w:type="dxa"/>
            <w:tcBorders>
              <w:top w:val="nil"/>
              <w:left w:val="nil"/>
              <w:bottom w:val="single" w:color="auto" w:sz="4" w:space="0"/>
              <w:right w:val="single" w:color="auto" w:sz="4" w:space="0"/>
            </w:tcBorders>
            <w:noWrap w:val="0"/>
            <w:vAlign w:val="center"/>
          </w:tcPr>
          <w:p w14:paraId="114C656E">
            <w:pPr>
              <w:widowControl/>
              <w:spacing w:line="240" w:lineRule="exact"/>
              <w:jc w:val="center"/>
              <w:rPr>
                <w:rFonts w:hint="default" w:ascii="宋体" w:hAnsi="宋体" w:cs="宋体"/>
                <w:kern w:val="0"/>
                <w:sz w:val="18"/>
                <w:szCs w:val="18"/>
                <w:lang w:val="en-US"/>
              </w:rPr>
            </w:pPr>
            <w:r>
              <w:rPr>
                <w:rFonts w:hint="eastAsia" w:ascii="Arial" w:hAnsi="Arial" w:cs="Arial"/>
                <w:kern w:val="0"/>
                <w:sz w:val="18"/>
                <w:szCs w:val="18"/>
                <w:lang w:val="en-US" w:eastAsia="zh-CN"/>
              </w:rPr>
              <w:t>100</w:t>
            </w:r>
          </w:p>
        </w:tc>
        <w:tc>
          <w:tcPr>
            <w:tcW w:w="567" w:type="dxa"/>
            <w:gridSpan w:val="2"/>
            <w:tcBorders>
              <w:top w:val="nil"/>
              <w:left w:val="nil"/>
              <w:bottom w:val="single" w:color="auto" w:sz="4" w:space="0"/>
              <w:right w:val="single" w:color="auto" w:sz="4" w:space="0"/>
            </w:tcBorders>
            <w:noWrap w:val="0"/>
            <w:vAlign w:val="center"/>
          </w:tcPr>
          <w:p w14:paraId="1BA51D27">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14:paraId="027372BC">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14:paraId="5E607A8C">
            <w:pPr>
              <w:widowControl/>
              <w:spacing w:line="240" w:lineRule="exact"/>
              <w:jc w:val="center"/>
              <w:rPr>
                <w:rFonts w:ascii="宋体" w:hAnsi="宋体" w:cs="宋体"/>
                <w:kern w:val="0"/>
                <w:sz w:val="18"/>
                <w:szCs w:val="18"/>
              </w:rPr>
            </w:pPr>
          </w:p>
        </w:tc>
      </w:tr>
      <w:tr w14:paraId="1FAEF4D5">
        <w:tblPrEx>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noWrap w:val="0"/>
            <w:vAlign w:val="center"/>
          </w:tcPr>
          <w:p w14:paraId="36AF8DE7">
            <w:pPr>
              <w:widowControl/>
              <w:spacing w:line="240" w:lineRule="exact"/>
              <w:jc w:val="center"/>
              <w:rPr>
                <w:rFonts w:ascii="宋体" w:hAnsi="宋体" w:cs="宋体"/>
                <w:kern w:val="0"/>
                <w:sz w:val="18"/>
                <w:szCs w:val="18"/>
              </w:rPr>
            </w:pPr>
          </w:p>
        </w:tc>
        <w:tc>
          <w:tcPr>
            <w:tcW w:w="980" w:type="dxa"/>
            <w:vMerge w:val="restart"/>
            <w:tcBorders>
              <w:top w:val="single" w:color="auto" w:sz="4" w:space="0"/>
              <w:left w:val="single" w:color="auto" w:sz="4" w:space="0"/>
              <w:bottom w:val="single" w:color="auto" w:sz="4" w:space="0"/>
              <w:right w:val="single" w:color="auto" w:sz="4" w:space="0"/>
            </w:tcBorders>
            <w:noWrap w:val="0"/>
            <w:vAlign w:val="center"/>
          </w:tcPr>
          <w:p w14:paraId="32685851">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p w14:paraId="56983570">
            <w:pPr>
              <w:widowControl/>
              <w:spacing w:line="240" w:lineRule="exact"/>
              <w:jc w:val="center"/>
              <w:rPr>
                <w:rFonts w:ascii="宋体" w:hAnsi="宋体" w:cs="宋体"/>
                <w:kern w:val="0"/>
                <w:sz w:val="18"/>
                <w:szCs w:val="18"/>
              </w:rPr>
            </w:pPr>
            <w:r>
              <w:rPr>
                <w:rFonts w:hint="eastAsia" w:ascii="宋体" w:hAnsi="宋体" w:cs="宋体"/>
                <w:kern w:val="0"/>
                <w:sz w:val="18"/>
                <w:szCs w:val="18"/>
              </w:rPr>
              <w:t>（30分）</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117FCD79">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经济</w:t>
            </w:r>
            <w:r>
              <w:rPr>
                <w:rFonts w:hint="eastAsia" w:ascii="宋体" w:hAnsi="宋体" w:cs="宋体"/>
                <w:kern w:val="0"/>
                <w:sz w:val="18"/>
                <w:szCs w:val="18"/>
              </w:rPr>
              <w:t>效益</w:t>
            </w:r>
          </w:p>
          <w:p w14:paraId="31A56886">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53" w:type="dxa"/>
            <w:gridSpan w:val="3"/>
            <w:tcBorders>
              <w:top w:val="single" w:color="auto" w:sz="4" w:space="0"/>
              <w:left w:val="nil"/>
              <w:bottom w:val="single" w:color="auto" w:sz="4" w:space="0"/>
              <w:right w:val="single" w:color="auto" w:sz="4" w:space="0"/>
            </w:tcBorders>
            <w:noWrap w:val="0"/>
            <w:vAlign w:val="center"/>
          </w:tcPr>
          <w:p w14:paraId="0FFF6220">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新增灌溉面积</w:t>
            </w:r>
            <w:r>
              <w:rPr>
                <w:rFonts w:hint="eastAsia" w:ascii="宋体" w:hAnsi="宋体" w:cs="宋体"/>
                <w:kern w:val="0"/>
                <w:sz w:val="18"/>
                <w:szCs w:val="18"/>
                <w:lang w:val="en-US" w:eastAsia="zh-CN"/>
              </w:rPr>
              <w:t>2.84万亩</w:t>
            </w:r>
          </w:p>
        </w:tc>
        <w:tc>
          <w:tcPr>
            <w:tcW w:w="845" w:type="dxa"/>
            <w:tcBorders>
              <w:top w:val="nil"/>
              <w:left w:val="nil"/>
              <w:bottom w:val="single" w:color="auto" w:sz="4" w:space="0"/>
              <w:right w:val="single" w:color="auto" w:sz="4" w:space="0"/>
            </w:tcBorders>
            <w:noWrap w:val="0"/>
            <w:vAlign w:val="center"/>
          </w:tcPr>
          <w:p w14:paraId="1597E5CE">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851" w:type="dxa"/>
            <w:tcBorders>
              <w:top w:val="nil"/>
              <w:left w:val="nil"/>
              <w:bottom w:val="single" w:color="auto" w:sz="4" w:space="0"/>
              <w:right w:val="single" w:color="auto" w:sz="4" w:space="0"/>
            </w:tcBorders>
            <w:noWrap w:val="0"/>
            <w:vAlign w:val="center"/>
          </w:tcPr>
          <w:p w14:paraId="63E21FFA">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567" w:type="dxa"/>
            <w:gridSpan w:val="2"/>
            <w:tcBorders>
              <w:top w:val="nil"/>
              <w:left w:val="nil"/>
              <w:bottom w:val="single" w:color="auto" w:sz="4" w:space="0"/>
              <w:right w:val="single" w:color="auto" w:sz="4" w:space="0"/>
            </w:tcBorders>
            <w:noWrap w:val="0"/>
            <w:vAlign w:val="center"/>
          </w:tcPr>
          <w:p w14:paraId="04C62AEE">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14:paraId="26268B3E">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14:paraId="06843FB9">
            <w:pPr>
              <w:widowControl/>
              <w:spacing w:line="240" w:lineRule="exact"/>
              <w:jc w:val="center"/>
              <w:rPr>
                <w:rFonts w:ascii="宋体" w:hAnsi="宋体" w:cs="宋体"/>
                <w:kern w:val="0"/>
                <w:sz w:val="18"/>
                <w:szCs w:val="18"/>
              </w:rPr>
            </w:pPr>
          </w:p>
        </w:tc>
      </w:tr>
      <w:tr w14:paraId="7ECC06F3">
        <w:tblPrEx>
          <w:tblCellMar>
            <w:top w:w="0" w:type="dxa"/>
            <w:left w:w="108" w:type="dxa"/>
            <w:bottom w:w="0" w:type="dxa"/>
            <w:right w:w="108" w:type="dxa"/>
          </w:tblCellMar>
        </w:tblPrEx>
        <w:trPr>
          <w:trHeight w:val="930" w:hRule="exact"/>
          <w:jc w:val="center"/>
        </w:trPr>
        <w:tc>
          <w:tcPr>
            <w:tcW w:w="588" w:type="dxa"/>
            <w:vMerge w:val="continue"/>
            <w:tcBorders>
              <w:left w:val="single" w:color="auto" w:sz="4" w:space="0"/>
              <w:right w:val="single" w:color="auto" w:sz="4" w:space="0"/>
            </w:tcBorders>
            <w:noWrap w:val="0"/>
            <w:vAlign w:val="center"/>
          </w:tcPr>
          <w:p w14:paraId="6816D047">
            <w:pPr>
              <w:widowControl/>
              <w:spacing w:line="240" w:lineRule="exact"/>
              <w:jc w:val="center"/>
              <w:rPr>
                <w:rFonts w:ascii="宋体" w:hAnsi="宋体" w:cs="宋体"/>
                <w:kern w:val="0"/>
                <w:sz w:val="18"/>
                <w:szCs w:val="18"/>
              </w:rPr>
            </w:pPr>
          </w:p>
        </w:tc>
        <w:tc>
          <w:tcPr>
            <w:tcW w:w="980" w:type="dxa"/>
            <w:vMerge w:val="continue"/>
            <w:tcBorders>
              <w:top w:val="single" w:color="auto" w:sz="4" w:space="0"/>
              <w:left w:val="single" w:color="auto" w:sz="4" w:space="0"/>
              <w:bottom w:val="single" w:color="auto" w:sz="4" w:space="0"/>
              <w:right w:val="single" w:color="auto" w:sz="4" w:space="0"/>
            </w:tcBorders>
            <w:noWrap w:val="0"/>
            <w:vAlign w:val="center"/>
          </w:tcPr>
          <w:p w14:paraId="4927FFC4">
            <w:pPr>
              <w:widowControl/>
              <w:spacing w:line="240" w:lineRule="exact"/>
              <w:jc w:val="center"/>
              <w:rPr>
                <w:rFonts w:ascii="宋体" w:hAnsi="宋体" w:cs="宋体"/>
                <w:kern w:val="0"/>
                <w:sz w:val="18"/>
                <w:szCs w:val="18"/>
              </w:rPr>
            </w:pPr>
          </w:p>
        </w:tc>
        <w:tc>
          <w:tcPr>
            <w:tcW w:w="1112" w:type="dxa"/>
            <w:tcBorders>
              <w:top w:val="single" w:color="auto" w:sz="4" w:space="0"/>
              <w:left w:val="single" w:color="auto" w:sz="4" w:space="0"/>
              <w:bottom w:val="single" w:color="auto" w:sz="4" w:space="0"/>
              <w:right w:val="single" w:color="auto" w:sz="4" w:space="0"/>
            </w:tcBorders>
            <w:noWrap w:val="0"/>
            <w:vAlign w:val="center"/>
          </w:tcPr>
          <w:p w14:paraId="198FD22B">
            <w:pPr>
              <w:widowControl/>
              <w:spacing w:line="240" w:lineRule="exact"/>
              <w:jc w:val="center"/>
              <w:rPr>
                <w:rFonts w:ascii="宋体" w:hAnsi="宋体" w:cs="宋体"/>
                <w:kern w:val="0"/>
                <w:sz w:val="18"/>
                <w:szCs w:val="18"/>
              </w:rPr>
            </w:pPr>
            <w:r>
              <w:rPr>
                <w:rFonts w:hint="eastAsia" w:ascii="宋体" w:hAnsi="宋体" w:cs="宋体"/>
                <w:kern w:val="0"/>
                <w:sz w:val="18"/>
                <w:szCs w:val="18"/>
              </w:rPr>
              <w:t>社会效益</w:t>
            </w:r>
          </w:p>
          <w:p w14:paraId="28ACA676">
            <w:pPr>
              <w:widowControl/>
              <w:spacing w:line="240" w:lineRule="exact"/>
              <w:jc w:val="center"/>
              <w:rPr>
                <w:rFonts w:ascii="宋体" w:hAnsi="宋体" w:cs="宋体"/>
                <w:kern w:val="0"/>
                <w:sz w:val="18"/>
                <w:szCs w:val="18"/>
              </w:rPr>
            </w:pPr>
            <w:r>
              <w:rPr>
                <w:rFonts w:hint="eastAsia" w:ascii="宋体" w:hAnsi="宋体" w:cs="宋体"/>
                <w:kern w:val="0"/>
                <w:sz w:val="18"/>
                <w:szCs w:val="18"/>
              </w:rPr>
              <w:t>指标</w:t>
            </w:r>
          </w:p>
        </w:tc>
        <w:tc>
          <w:tcPr>
            <w:tcW w:w="2153" w:type="dxa"/>
            <w:gridSpan w:val="3"/>
            <w:tcBorders>
              <w:top w:val="single" w:color="auto" w:sz="4" w:space="0"/>
              <w:left w:val="nil"/>
              <w:bottom w:val="single" w:color="auto" w:sz="4" w:space="0"/>
              <w:right w:val="single" w:color="auto" w:sz="4" w:space="0"/>
            </w:tcBorders>
            <w:noWrap w:val="0"/>
            <w:vAlign w:val="center"/>
          </w:tcPr>
          <w:p w14:paraId="4260AAB3">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八宿县经济社会可持续发展</w:t>
            </w:r>
          </w:p>
        </w:tc>
        <w:tc>
          <w:tcPr>
            <w:tcW w:w="845" w:type="dxa"/>
            <w:tcBorders>
              <w:top w:val="nil"/>
              <w:left w:val="nil"/>
              <w:bottom w:val="single" w:color="auto" w:sz="4" w:space="0"/>
              <w:right w:val="single" w:color="auto" w:sz="4" w:space="0"/>
            </w:tcBorders>
            <w:noWrap w:val="0"/>
            <w:vAlign w:val="center"/>
          </w:tcPr>
          <w:p w14:paraId="5D186962">
            <w:pPr>
              <w:widowControl/>
              <w:spacing w:line="240" w:lineRule="exact"/>
              <w:jc w:val="center"/>
              <w:rPr>
                <w:rFonts w:hint="default" w:ascii="宋体" w:hAnsi="宋体" w:eastAsia="宋体" w:cs="宋体"/>
                <w:kern w:val="0"/>
                <w:sz w:val="18"/>
                <w:szCs w:val="18"/>
                <w:lang w:val="en-US" w:eastAsia="zh-CN"/>
              </w:rPr>
            </w:pPr>
            <w:r>
              <w:rPr>
                <w:rFonts w:hint="eastAsia" w:ascii="Arial" w:hAnsi="Arial" w:cs="Arial"/>
                <w:kern w:val="0"/>
                <w:sz w:val="18"/>
                <w:szCs w:val="18"/>
                <w:lang w:val="en-US" w:eastAsia="zh-CN"/>
              </w:rPr>
              <w:t>100</w:t>
            </w:r>
          </w:p>
        </w:tc>
        <w:tc>
          <w:tcPr>
            <w:tcW w:w="851" w:type="dxa"/>
            <w:tcBorders>
              <w:top w:val="nil"/>
              <w:left w:val="nil"/>
              <w:bottom w:val="single" w:color="auto" w:sz="4" w:space="0"/>
              <w:right w:val="single" w:color="auto" w:sz="4" w:space="0"/>
            </w:tcBorders>
            <w:noWrap w:val="0"/>
            <w:vAlign w:val="center"/>
          </w:tcPr>
          <w:p w14:paraId="722D1A7B">
            <w:pPr>
              <w:widowControl/>
              <w:spacing w:line="240" w:lineRule="exact"/>
              <w:jc w:val="center"/>
              <w:rPr>
                <w:rFonts w:hint="default" w:ascii="宋体" w:hAnsi="宋体" w:cs="宋体"/>
                <w:kern w:val="0"/>
                <w:sz w:val="18"/>
                <w:szCs w:val="18"/>
                <w:lang w:val="en-US"/>
              </w:rPr>
            </w:pPr>
            <w:r>
              <w:rPr>
                <w:rFonts w:hint="eastAsia" w:ascii="Arial" w:hAnsi="Arial" w:cs="Arial"/>
                <w:kern w:val="0"/>
                <w:sz w:val="18"/>
                <w:szCs w:val="18"/>
                <w:lang w:val="en-US" w:eastAsia="zh-CN"/>
              </w:rPr>
              <w:t>95</w:t>
            </w:r>
          </w:p>
        </w:tc>
        <w:tc>
          <w:tcPr>
            <w:tcW w:w="567" w:type="dxa"/>
            <w:gridSpan w:val="2"/>
            <w:tcBorders>
              <w:top w:val="nil"/>
              <w:left w:val="nil"/>
              <w:bottom w:val="single" w:color="auto" w:sz="4" w:space="0"/>
              <w:right w:val="single" w:color="auto" w:sz="4" w:space="0"/>
            </w:tcBorders>
            <w:noWrap w:val="0"/>
            <w:vAlign w:val="center"/>
          </w:tcPr>
          <w:p w14:paraId="2EC7A9DB">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14:paraId="2B857CCB">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417" w:type="dxa"/>
            <w:gridSpan w:val="2"/>
            <w:tcBorders>
              <w:top w:val="single" w:color="auto" w:sz="4" w:space="0"/>
              <w:left w:val="nil"/>
              <w:bottom w:val="single" w:color="auto" w:sz="4" w:space="0"/>
              <w:right w:val="single" w:color="auto" w:sz="4" w:space="0"/>
            </w:tcBorders>
            <w:noWrap w:val="0"/>
            <w:vAlign w:val="center"/>
          </w:tcPr>
          <w:p w14:paraId="3C25BAE7">
            <w:pPr>
              <w:widowControl/>
              <w:spacing w:line="240" w:lineRule="exact"/>
              <w:jc w:val="center"/>
              <w:rPr>
                <w:rFonts w:ascii="宋体" w:hAnsi="宋体" w:cs="宋体"/>
                <w:kern w:val="0"/>
                <w:sz w:val="18"/>
                <w:szCs w:val="18"/>
              </w:rPr>
            </w:pPr>
          </w:p>
        </w:tc>
      </w:tr>
      <w:tr w14:paraId="6484BD63">
        <w:tblPrEx>
          <w:tblCellMar>
            <w:top w:w="0" w:type="dxa"/>
            <w:left w:w="108" w:type="dxa"/>
            <w:bottom w:w="0" w:type="dxa"/>
            <w:right w:w="108" w:type="dxa"/>
          </w:tblCellMar>
        </w:tblPrEx>
        <w:trPr>
          <w:trHeight w:val="795" w:hRule="exact"/>
          <w:jc w:val="center"/>
        </w:trPr>
        <w:tc>
          <w:tcPr>
            <w:tcW w:w="588" w:type="dxa"/>
            <w:vMerge w:val="continue"/>
            <w:tcBorders>
              <w:left w:val="single" w:color="auto" w:sz="4" w:space="0"/>
              <w:right w:val="single" w:color="auto" w:sz="4" w:space="0"/>
            </w:tcBorders>
            <w:noWrap w:val="0"/>
            <w:vAlign w:val="center"/>
          </w:tcPr>
          <w:p w14:paraId="4724CA7F">
            <w:pPr>
              <w:widowControl/>
              <w:spacing w:line="240" w:lineRule="exact"/>
              <w:jc w:val="center"/>
              <w:rPr>
                <w:rFonts w:ascii="宋体" w:hAnsi="宋体" w:cs="宋体"/>
                <w:kern w:val="0"/>
                <w:sz w:val="18"/>
                <w:szCs w:val="18"/>
              </w:rPr>
            </w:pPr>
          </w:p>
        </w:tc>
        <w:tc>
          <w:tcPr>
            <w:tcW w:w="980" w:type="dxa"/>
            <w:vMerge w:val="continue"/>
            <w:tcBorders>
              <w:top w:val="single" w:color="auto" w:sz="4" w:space="0"/>
              <w:left w:val="single" w:color="auto" w:sz="4" w:space="0"/>
              <w:bottom w:val="single" w:color="auto" w:sz="4" w:space="0"/>
              <w:right w:val="single" w:color="auto" w:sz="4" w:space="0"/>
            </w:tcBorders>
            <w:noWrap w:val="0"/>
            <w:vAlign w:val="center"/>
          </w:tcPr>
          <w:p w14:paraId="70FD9461">
            <w:pPr>
              <w:widowControl/>
              <w:spacing w:line="240" w:lineRule="exact"/>
              <w:jc w:val="center"/>
              <w:rPr>
                <w:rFonts w:ascii="宋体" w:hAnsi="宋体" w:cs="宋体"/>
                <w:kern w:val="0"/>
                <w:sz w:val="18"/>
                <w:szCs w:val="18"/>
              </w:rPr>
            </w:pPr>
          </w:p>
        </w:tc>
        <w:tc>
          <w:tcPr>
            <w:tcW w:w="1112" w:type="dxa"/>
            <w:tcBorders>
              <w:top w:val="single" w:color="auto" w:sz="4" w:space="0"/>
              <w:left w:val="single" w:color="auto" w:sz="4" w:space="0"/>
              <w:bottom w:val="single" w:color="auto" w:sz="4" w:space="0"/>
              <w:right w:val="single" w:color="auto" w:sz="4" w:space="0"/>
            </w:tcBorders>
            <w:noWrap w:val="0"/>
            <w:vAlign w:val="center"/>
          </w:tcPr>
          <w:p w14:paraId="27BA6CA9">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生态效益指标</w:t>
            </w:r>
          </w:p>
        </w:tc>
        <w:tc>
          <w:tcPr>
            <w:tcW w:w="2153" w:type="dxa"/>
            <w:gridSpan w:val="3"/>
            <w:tcBorders>
              <w:top w:val="single" w:color="auto" w:sz="4" w:space="0"/>
              <w:left w:val="nil"/>
              <w:bottom w:val="single" w:color="auto" w:sz="4" w:space="0"/>
              <w:right w:val="single" w:color="auto" w:sz="4" w:space="0"/>
            </w:tcBorders>
            <w:noWrap w:val="0"/>
            <w:vAlign w:val="center"/>
          </w:tcPr>
          <w:p w14:paraId="51729ACE">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供水灌溉等生态综合效益</w:t>
            </w:r>
          </w:p>
        </w:tc>
        <w:tc>
          <w:tcPr>
            <w:tcW w:w="845" w:type="dxa"/>
            <w:tcBorders>
              <w:top w:val="nil"/>
              <w:left w:val="nil"/>
              <w:bottom w:val="single" w:color="auto" w:sz="4" w:space="0"/>
              <w:right w:val="single" w:color="auto" w:sz="4" w:space="0"/>
            </w:tcBorders>
            <w:noWrap w:val="0"/>
            <w:vAlign w:val="center"/>
          </w:tcPr>
          <w:p w14:paraId="00D8B0A2">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851" w:type="dxa"/>
            <w:tcBorders>
              <w:top w:val="nil"/>
              <w:left w:val="nil"/>
              <w:bottom w:val="single" w:color="auto" w:sz="4" w:space="0"/>
              <w:right w:val="single" w:color="auto" w:sz="4" w:space="0"/>
            </w:tcBorders>
            <w:noWrap w:val="0"/>
            <w:vAlign w:val="center"/>
          </w:tcPr>
          <w:p w14:paraId="52F0FE9D">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95</w:t>
            </w:r>
          </w:p>
        </w:tc>
        <w:tc>
          <w:tcPr>
            <w:tcW w:w="567" w:type="dxa"/>
            <w:gridSpan w:val="2"/>
            <w:tcBorders>
              <w:top w:val="nil"/>
              <w:left w:val="nil"/>
              <w:bottom w:val="single" w:color="auto" w:sz="4" w:space="0"/>
              <w:right w:val="single" w:color="auto" w:sz="4" w:space="0"/>
            </w:tcBorders>
            <w:noWrap w:val="0"/>
            <w:vAlign w:val="center"/>
          </w:tcPr>
          <w:p w14:paraId="0F4E6677">
            <w:pPr>
              <w:widowControl/>
              <w:spacing w:line="240" w:lineRule="exact"/>
              <w:jc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14:paraId="30983FEE">
            <w:pPr>
              <w:widowControl/>
              <w:spacing w:line="240" w:lineRule="exact"/>
              <w:jc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9</w:t>
            </w:r>
          </w:p>
        </w:tc>
        <w:tc>
          <w:tcPr>
            <w:tcW w:w="1417" w:type="dxa"/>
            <w:gridSpan w:val="2"/>
            <w:tcBorders>
              <w:top w:val="single" w:color="auto" w:sz="4" w:space="0"/>
              <w:left w:val="nil"/>
              <w:bottom w:val="single" w:color="auto" w:sz="4" w:space="0"/>
              <w:right w:val="single" w:color="auto" w:sz="4" w:space="0"/>
            </w:tcBorders>
            <w:noWrap w:val="0"/>
            <w:vAlign w:val="center"/>
          </w:tcPr>
          <w:p w14:paraId="0B5C17D3">
            <w:pPr>
              <w:widowControl/>
              <w:spacing w:line="240" w:lineRule="exact"/>
              <w:jc w:val="center"/>
              <w:rPr>
                <w:rFonts w:ascii="宋体" w:hAnsi="宋体" w:cs="宋体"/>
                <w:kern w:val="0"/>
                <w:sz w:val="18"/>
                <w:szCs w:val="18"/>
              </w:rPr>
            </w:pPr>
          </w:p>
        </w:tc>
      </w:tr>
      <w:tr w14:paraId="4CCA0B19">
        <w:tblPrEx>
          <w:tblCellMar>
            <w:top w:w="0" w:type="dxa"/>
            <w:left w:w="108" w:type="dxa"/>
            <w:bottom w:w="0" w:type="dxa"/>
            <w:right w:w="108" w:type="dxa"/>
          </w:tblCellMar>
        </w:tblPrEx>
        <w:trPr>
          <w:trHeight w:val="750" w:hRule="exact"/>
          <w:jc w:val="center"/>
        </w:trPr>
        <w:tc>
          <w:tcPr>
            <w:tcW w:w="588" w:type="dxa"/>
            <w:vMerge w:val="continue"/>
            <w:tcBorders>
              <w:left w:val="single" w:color="auto" w:sz="4" w:space="0"/>
              <w:right w:val="single" w:color="auto" w:sz="4" w:space="0"/>
            </w:tcBorders>
            <w:noWrap w:val="0"/>
            <w:vAlign w:val="center"/>
          </w:tcPr>
          <w:p w14:paraId="15E2E908">
            <w:pPr>
              <w:widowControl/>
              <w:spacing w:line="240" w:lineRule="exact"/>
              <w:jc w:val="center"/>
              <w:rPr>
                <w:rFonts w:ascii="宋体" w:hAnsi="宋体" w:cs="宋体"/>
                <w:kern w:val="0"/>
                <w:sz w:val="18"/>
                <w:szCs w:val="18"/>
              </w:rPr>
            </w:pPr>
          </w:p>
        </w:tc>
        <w:tc>
          <w:tcPr>
            <w:tcW w:w="980" w:type="dxa"/>
            <w:vMerge w:val="continue"/>
            <w:tcBorders>
              <w:top w:val="single" w:color="auto" w:sz="4" w:space="0"/>
              <w:left w:val="single" w:color="auto" w:sz="4" w:space="0"/>
              <w:bottom w:val="single" w:color="auto" w:sz="4" w:space="0"/>
              <w:right w:val="single" w:color="auto" w:sz="4" w:space="0"/>
            </w:tcBorders>
            <w:noWrap w:val="0"/>
            <w:vAlign w:val="center"/>
          </w:tcPr>
          <w:p w14:paraId="1D8155DC">
            <w:pPr>
              <w:widowControl/>
              <w:spacing w:line="240" w:lineRule="exact"/>
              <w:jc w:val="center"/>
              <w:rPr>
                <w:rFonts w:ascii="宋体" w:hAnsi="宋体" w:cs="宋体"/>
                <w:kern w:val="0"/>
                <w:sz w:val="18"/>
                <w:szCs w:val="18"/>
              </w:rPr>
            </w:pPr>
          </w:p>
        </w:tc>
        <w:tc>
          <w:tcPr>
            <w:tcW w:w="1112" w:type="dxa"/>
            <w:tcBorders>
              <w:top w:val="single" w:color="auto" w:sz="4" w:space="0"/>
              <w:left w:val="single" w:color="auto" w:sz="4" w:space="0"/>
              <w:bottom w:val="single" w:color="auto" w:sz="4" w:space="0"/>
              <w:right w:val="single" w:color="auto" w:sz="4" w:space="0"/>
            </w:tcBorders>
            <w:noWrap w:val="0"/>
            <w:vAlign w:val="center"/>
          </w:tcPr>
          <w:p w14:paraId="00066371">
            <w:pPr>
              <w:widowControl/>
              <w:spacing w:line="240" w:lineRule="exact"/>
              <w:jc w:val="center"/>
              <w:rPr>
                <w:rFonts w:ascii="宋体" w:hAnsi="宋体" w:cs="宋体"/>
                <w:kern w:val="0"/>
                <w:sz w:val="18"/>
                <w:szCs w:val="18"/>
              </w:rPr>
            </w:pPr>
            <w:r>
              <w:rPr>
                <w:rFonts w:hint="eastAsia" w:ascii="宋体" w:hAnsi="宋体" w:cs="宋体"/>
                <w:kern w:val="0"/>
                <w:sz w:val="18"/>
                <w:szCs w:val="18"/>
              </w:rPr>
              <w:t>可持续影响指标</w:t>
            </w:r>
          </w:p>
        </w:tc>
        <w:tc>
          <w:tcPr>
            <w:tcW w:w="2153" w:type="dxa"/>
            <w:gridSpan w:val="3"/>
            <w:tcBorders>
              <w:top w:val="single" w:color="auto" w:sz="4" w:space="0"/>
              <w:left w:val="nil"/>
              <w:bottom w:val="single" w:color="auto" w:sz="4" w:space="0"/>
              <w:right w:val="single" w:color="auto" w:sz="4" w:space="0"/>
            </w:tcBorders>
            <w:noWrap w:val="0"/>
            <w:vAlign w:val="center"/>
          </w:tcPr>
          <w:p w14:paraId="1268DAC4">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项目建成后年均供水量 1578万立方米</w:t>
            </w:r>
          </w:p>
        </w:tc>
        <w:tc>
          <w:tcPr>
            <w:tcW w:w="845" w:type="dxa"/>
            <w:tcBorders>
              <w:top w:val="nil"/>
              <w:left w:val="nil"/>
              <w:bottom w:val="single" w:color="auto" w:sz="4" w:space="0"/>
              <w:right w:val="single" w:color="auto" w:sz="4" w:space="0"/>
            </w:tcBorders>
            <w:noWrap w:val="0"/>
            <w:vAlign w:val="center"/>
          </w:tcPr>
          <w:p w14:paraId="4E686465">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851" w:type="dxa"/>
            <w:tcBorders>
              <w:top w:val="nil"/>
              <w:left w:val="nil"/>
              <w:bottom w:val="single" w:color="auto" w:sz="4" w:space="0"/>
              <w:right w:val="single" w:color="auto" w:sz="4" w:space="0"/>
            </w:tcBorders>
            <w:noWrap w:val="0"/>
            <w:vAlign w:val="center"/>
          </w:tcPr>
          <w:p w14:paraId="54D38E58">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14:paraId="592F0D47">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14:paraId="6DA18729">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14:paraId="165E8802">
            <w:pPr>
              <w:widowControl/>
              <w:spacing w:line="240" w:lineRule="exact"/>
              <w:jc w:val="center"/>
              <w:rPr>
                <w:rFonts w:ascii="宋体" w:hAnsi="宋体" w:cs="宋体"/>
                <w:kern w:val="0"/>
                <w:sz w:val="18"/>
                <w:szCs w:val="18"/>
              </w:rPr>
            </w:pPr>
          </w:p>
        </w:tc>
      </w:tr>
      <w:tr w14:paraId="24EBD264">
        <w:tblPrEx>
          <w:tblCellMar>
            <w:top w:w="0" w:type="dxa"/>
            <w:left w:w="108" w:type="dxa"/>
            <w:bottom w:w="0" w:type="dxa"/>
            <w:right w:w="108" w:type="dxa"/>
          </w:tblCellMar>
        </w:tblPrEx>
        <w:trPr>
          <w:trHeight w:val="780" w:hRule="exact"/>
          <w:jc w:val="center"/>
        </w:trPr>
        <w:tc>
          <w:tcPr>
            <w:tcW w:w="588" w:type="dxa"/>
            <w:vMerge w:val="continue"/>
            <w:tcBorders>
              <w:left w:val="single" w:color="auto" w:sz="4" w:space="0"/>
              <w:right w:val="single" w:color="auto" w:sz="4" w:space="0"/>
            </w:tcBorders>
            <w:noWrap w:val="0"/>
            <w:vAlign w:val="center"/>
          </w:tcPr>
          <w:p w14:paraId="7CB180BE">
            <w:pPr>
              <w:widowControl/>
              <w:spacing w:line="240" w:lineRule="exact"/>
              <w:jc w:val="center"/>
              <w:rPr>
                <w:rFonts w:ascii="宋体" w:hAnsi="宋体" w:cs="宋体"/>
                <w:kern w:val="0"/>
                <w:sz w:val="18"/>
                <w:szCs w:val="18"/>
              </w:rPr>
            </w:pPr>
          </w:p>
        </w:tc>
        <w:tc>
          <w:tcPr>
            <w:tcW w:w="980" w:type="dxa"/>
            <w:tcBorders>
              <w:top w:val="single" w:color="auto" w:sz="4" w:space="0"/>
              <w:left w:val="single" w:color="auto" w:sz="4" w:space="0"/>
              <w:bottom w:val="single" w:color="auto" w:sz="4" w:space="0"/>
              <w:right w:val="single" w:color="auto" w:sz="4" w:space="0"/>
            </w:tcBorders>
            <w:noWrap w:val="0"/>
            <w:vAlign w:val="center"/>
          </w:tcPr>
          <w:p w14:paraId="36A13857">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p w14:paraId="3DBA642E">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p w14:paraId="12AE3DB6">
            <w:pPr>
              <w:widowControl/>
              <w:spacing w:line="240" w:lineRule="exact"/>
              <w:jc w:val="center"/>
              <w:rPr>
                <w:rFonts w:ascii="宋体" w:hAnsi="宋体" w:cs="宋体"/>
                <w:kern w:val="0"/>
                <w:sz w:val="18"/>
                <w:szCs w:val="18"/>
              </w:rPr>
            </w:pPr>
            <w:r>
              <w:rPr>
                <w:rFonts w:hint="eastAsia" w:ascii="宋体" w:hAnsi="宋体" w:cs="宋体"/>
                <w:kern w:val="0"/>
                <w:sz w:val="18"/>
                <w:szCs w:val="18"/>
              </w:rPr>
              <w:t>（10分）</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43160928">
            <w:pPr>
              <w:widowControl/>
              <w:spacing w:line="240" w:lineRule="exact"/>
              <w:jc w:val="center"/>
              <w:rPr>
                <w:rFonts w:ascii="宋体" w:hAnsi="宋体" w:cs="宋体"/>
                <w:kern w:val="0"/>
                <w:sz w:val="18"/>
                <w:szCs w:val="18"/>
              </w:rPr>
            </w:pPr>
            <w:r>
              <w:rPr>
                <w:rFonts w:hint="eastAsia" w:ascii="宋体" w:hAnsi="宋体" w:cs="宋体"/>
                <w:kern w:val="0"/>
                <w:sz w:val="18"/>
                <w:szCs w:val="18"/>
              </w:rPr>
              <w:t>服务对象满意度指标</w:t>
            </w:r>
          </w:p>
        </w:tc>
        <w:tc>
          <w:tcPr>
            <w:tcW w:w="2153" w:type="dxa"/>
            <w:gridSpan w:val="3"/>
            <w:tcBorders>
              <w:top w:val="single" w:color="auto" w:sz="4" w:space="0"/>
              <w:left w:val="nil"/>
              <w:bottom w:val="single" w:color="auto" w:sz="4" w:space="0"/>
              <w:right w:val="single" w:color="auto" w:sz="4" w:space="0"/>
            </w:tcBorders>
            <w:noWrap w:val="0"/>
            <w:vAlign w:val="center"/>
          </w:tcPr>
          <w:p w14:paraId="2C91171C">
            <w:pPr>
              <w:widowControl/>
              <w:spacing w:line="240" w:lineRule="exact"/>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群众满意度</w:t>
            </w:r>
          </w:p>
        </w:tc>
        <w:tc>
          <w:tcPr>
            <w:tcW w:w="845" w:type="dxa"/>
            <w:tcBorders>
              <w:top w:val="nil"/>
              <w:left w:val="nil"/>
              <w:bottom w:val="single" w:color="auto" w:sz="4" w:space="0"/>
              <w:right w:val="single" w:color="auto" w:sz="4" w:space="0"/>
            </w:tcBorders>
            <w:noWrap w:val="0"/>
            <w:vAlign w:val="center"/>
          </w:tcPr>
          <w:p w14:paraId="4B7A74E3">
            <w:pPr>
              <w:widowControl/>
              <w:spacing w:line="240" w:lineRule="exact"/>
              <w:jc w:val="center"/>
              <w:rPr>
                <w:rFonts w:hint="default" w:ascii="宋体" w:hAnsi="宋体" w:cs="宋体"/>
                <w:kern w:val="0"/>
                <w:sz w:val="18"/>
                <w:szCs w:val="18"/>
                <w:lang w:val="en-US"/>
              </w:rPr>
            </w:pPr>
            <w:r>
              <w:rPr>
                <w:rFonts w:hint="eastAsia" w:ascii="Arial" w:hAnsi="Arial" w:cs="Arial"/>
                <w:kern w:val="0"/>
                <w:sz w:val="18"/>
                <w:szCs w:val="18"/>
                <w:lang w:val="en-US" w:eastAsia="zh-CN"/>
              </w:rPr>
              <w:t>100</w:t>
            </w:r>
          </w:p>
        </w:tc>
        <w:tc>
          <w:tcPr>
            <w:tcW w:w="851" w:type="dxa"/>
            <w:tcBorders>
              <w:top w:val="nil"/>
              <w:left w:val="nil"/>
              <w:bottom w:val="single" w:color="auto" w:sz="4" w:space="0"/>
              <w:right w:val="single" w:color="auto" w:sz="4" w:space="0"/>
            </w:tcBorders>
            <w:noWrap w:val="0"/>
            <w:vAlign w:val="center"/>
          </w:tcPr>
          <w:p w14:paraId="18FF8332">
            <w:pPr>
              <w:widowControl/>
              <w:spacing w:line="240" w:lineRule="exact"/>
              <w:jc w:val="center"/>
              <w:rPr>
                <w:rFonts w:hint="default" w:ascii="宋体" w:hAnsi="宋体" w:cs="宋体"/>
                <w:kern w:val="0"/>
                <w:sz w:val="18"/>
                <w:szCs w:val="18"/>
                <w:lang w:val="en-US"/>
              </w:rPr>
            </w:pPr>
            <w:r>
              <w:rPr>
                <w:rFonts w:hint="eastAsia" w:ascii="Arial" w:hAnsi="Arial" w:cs="Arial"/>
                <w:kern w:val="0"/>
                <w:sz w:val="18"/>
                <w:szCs w:val="18"/>
                <w:lang w:val="en-US" w:eastAsia="zh-CN"/>
              </w:rPr>
              <w:t>98</w:t>
            </w:r>
          </w:p>
        </w:tc>
        <w:tc>
          <w:tcPr>
            <w:tcW w:w="567" w:type="dxa"/>
            <w:gridSpan w:val="2"/>
            <w:tcBorders>
              <w:top w:val="nil"/>
              <w:left w:val="nil"/>
              <w:bottom w:val="single" w:color="auto" w:sz="4" w:space="0"/>
              <w:right w:val="single" w:color="auto" w:sz="4" w:space="0"/>
            </w:tcBorders>
            <w:noWrap w:val="0"/>
            <w:vAlign w:val="center"/>
          </w:tcPr>
          <w:p w14:paraId="24738DE3">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14:paraId="6A5BE19A">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417" w:type="dxa"/>
            <w:gridSpan w:val="2"/>
            <w:tcBorders>
              <w:top w:val="single" w:color="auto" w:sz="4" w:space="0"/>
              <w:left w:val="nil"/>
              <w:bottom w:val="single" w:color="auto" w:sz="4" w:space="0"/>
              <w:right w:val="single" w:color="auto" w:sz="4" w:space="0"/>
            </w:tcBorders>
            <w:noWrap w:val="0"/>
            <w:vAlign w:val="center"/>
          </w:tcPr>
          <w:p w14:paraId="011C2A19">
            <w:pPr>
              <w:widowControl/>
              <w:spacing w:line="240" w:lineRule="exact"/>
              <w:jc w:val="center"/>
              <w:rPr>
                <w:rFonts w:ascii="宋体" w:hAnsi="宋体" w:cs="宋体"/>
                <w:kern w:val="0"/>
                <w:sz w:val="18"/>
                <w:szCs w:val="18"/>
              </w:rPr>
            </w:pPr>
          </w:p>
        </w:tc>
      </w:tr>
      <w:tr w14:paraId="08D0685D">
        <w:tblPrEx>
          <w:tblCellMar>
            <w:top w:w="0" w:type="dxa"/>
            <w:left w:w="108" w:type="dxa"/>
            <w:bottom w:w="0" w:type="dxa"/>
            <w:right w:w="108" w:type="dxa"/>
          </w:tblCellMar>
        </w:tblPrEx>
        <w:trPr>
          <w:trHeight w:val="660" w:hRule="exact"/>
          <w:jc w:val="center"/>
        </w:trPr>
        <w:tc>
          <w:tcPr>
            <w:tcW w:w="6529" w:type="dxa"/>
            <w:gridSpan w:val="8"/>
            <w:tcBorders>
              <w:top w:val="single" w:color="auto" w:sz="4" w:space="0"/>
              <w:left w:val="single" w:color="auto" w:sz="4" w:space="0"/>
              <w:bottom w:val="single" w:color="auto" w:sz="4" w:space="0"/>
              <w:right w:val="single" w:color="auto" w:sz="4" w:space="0"/>
            </w:tcBorders>
            <w:noWrap w:val="0"/>
            <w:vAlign w:val="center"/>
          </w:tcPr>
          <w:p w14:paraId="169811A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567" w:type="dxa"/>
            <w:gridSpan w:val="2"/>
            <w:tcBorders>
              <w:top w:val="nil"/>
              <w:left w:val="nil"/>
              <w:bottom w:val="single" w:color="auto" w:sz="4" w:space="0"/>
              <w:right w:val="single" w:color="auto" w:sz="4" w:space="0"/>
            </w:tcBorders>
            <w:noWrap w:val="0"/>
            <w:vAlign w:val="center"/>
          </w:tcPr>
          <w:p w14:paraId="308EAA6C">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100</w:t>
            </w:r>
          </w:p>
        </w:tc>
        <w:tc>
          <w:tcPr>
            <w:tcW w:w="567" w:type="dxa"/>
            <w:gridSpan w:val="2"/>
            <w:tcBorders>
              <w:top w:val="nil"/>
              <w:left w:val="nil"/>
              <w:bottom w:val="single" w:color="auto" w:sz="4" w:space="0"/>
              <w:right w:val="single" w:color="auto" w:sz="4" w:space="0"/>
            </w:tcBorders>
            <w:noWrap w:val="0"/>
            <w:vAlign w:val="center"/>
          </w:tcPr>
          <w:p w14:paraId="096C1190">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97</w:t>
            </w:r>
          </w:p>
        </w:tc>
        <w:tc>
          <w:tcPr>
            <w:tcW w:w="1417" w:type="dxa"/>
            <w:gridSpan w:val="2"/>
            <w:tcBorders>
              <w:top w:val="single" w:color="auto" w:sz="4" w:space="0"/>
              <w:left w:val="nil"/>
              <w:bottom w:val="single" w:color="auto" w:sz="4" w:space="0"/>
              <w:right w:val="single" w:color="auto" w:sz="4" w:space="0"/>
            </w:tcBorders>
            <w:noWrap w:val="0"/>
            <w:vAlign w:val="center"/>
          </w:tcPr>
          <w:p w14:paraId="7399727A">
            <w:pPr>
              <w:widowControl/>
              <w:spacing w:line="240" w:lineRule="exact"/>
              <w:jc w:val="center"/>
              <w:rPr>
                <w:rFonts w:ascii="宋体" w:hAnsi="宋体" w:cs="宋体"/>
                <w:kern w:val="0"/>
                <w:sz w:val="18"/>
                <w:szCs w:val="18"/>
              </w:rPr>
            </w:pPr>
          </w:p>
        </w:tc>
      </w:tr>
    </w:tbl>
    <w:p w14:paraId="7F27472B">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弄利措水库工程建设资金绩效自评报告：基本情况，部门主要职责职能,1、主要职责是市政府授权范围内水利国有资产的运营管理、大中型水源工程，供排水工程，治污工程的项目投资和经营，供水工程规划区内水资源的统一开发和经营，河道整治及水土保持项目的开发、投资和经营；中小水电站项目的开发、投资；销售水利水电设备及材料。2025年部门（单位）预算绩效管理工作开展执行情况，昌都市弄利措水库工程下达资金1988.39万元，该项目1988.39万元已完成拨付。2、绩效目标完成情况分析，资金投入情况分析，项目资金到位情况分析，资金于年初预算中列入1988.39万元，用于昌都市弄利措水库工程建设；项目资金执行情况分析，2025年使用项目建设资金1988.39万元；项目资金管理情况分析，资金使用均按照《项目资金管理办法）按规定付款。总体绩效目标完成情况分析。该项目资金属于中央资金、社会民生项目，主要解决八宿县饮水和灌溉，当年工程绩效目标任务完成。3、重大项目绩效评价工作开展情况， 预算资金1988.39万元，执行资金1988.39万元，完成率100%。4、绩效自评结果， 按照水利项目建设管理，我公司积极开展工程建设，通过一年的工期，按时间节点完成了工程建设。</w:t>
      </w:r>
    </w:p>
    <w:p w14:paraId="549DE405">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主要经验和做法：由于绩效是一项开展不久的工作任务，项目支出运行实践经验还欠缺，相关制度建设待进一步加强；在编制预算与执行中，我单位将尽可能尽量做到科学、合理的分配。</w:t>
      </w:r>
    </w:p>
    <w:p w14:paraId="5CB5D26D">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存在问题：无</w:t>
      </w:r>
    </w:p>
    <w:p w14:paraId="6C6C614A">
      <w:pPr>
        <w:ind w:firstLine="640" w:firstLineChars="200"/>
        <w:jc w:val="both"/>
        <w:rPr>
          <w:rFonts w:hint="eastAsia" w:ascii="仿宋_GB2312" w:eastAsia="仿宋_GB2312"/>
          <w:color w:val="FF0000"/>
          <w:sz w:val="32"/>
          <w:szCs w:val="32"/>
          <w:highlight w:val="none"/>
          <w:lang w:val="en-US" w:eastAsia="zh-CN"/>
        </w:rPr>
      </w:pPr>
      <w:r>
        <w:rPr>
          <w:rFonts w:hint="eastAsia" w:ascii="仿宋_GB2312" w:hAnsi="仿宋_GB2312" w:eastAsia="仿宋_GB2312" w:cs="仿宋_GB2312"/>
          <w:sz w:val="32"/>
          <w:szCs w:val="32"/>
          <w:lang w:val="en-US" w:eastAsia="zh-CN"/>
        </w:rPr>
        <w:t>其他需要说明的事项：无</w:t>
      </w:r>
    </w:p>
    <w:p w14:paraId="58BC210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（三）部门评价结果（预算部门填写，部门所属单位不需填写）</w:t>
      </w:r>
    </w:p>
    <w:p w14:paraId="4B9F590C">
      <w:pPr>
        <w:spacing w:line="578" w:lineRule="exact"/>
        <w:ind w:firstLine="640" w:firstLineChars="200"/>
        <w:jc w:val="both"/>
        <w:rPr>
          <w:rFonts w:hint="eastAsia" w:ascii="仿宋_GB2312" w:eastAsia="仿宋_GB2312"/>
          <w:color w:val="auto"/>
          <w:sz w:val="32"/>
          <w:szCs w:val="32"/>
          <w:highlight w:val="none"/>
        </w:rPr>
      </w:pPr>
      <w:r>
        <w:rPr>
          <w:rFonts w:hint="eastAsia" w:ascii="仿宋_GB2312" w:hAnsi="仿宋_GB2312" w:eastAsia="仿宋_GB2312" w:cs="仿宋_GB2312"/>
          <w:color w:val="auto"/>
          <w:kern w:val="0"/>
          <w:sz w:val="32"/>
          <w:szCs w:val="32"/>
          <w:highlight w:val="none"/>
          <w:lang w:bidi="ar"/>
        </w:rPr>
        <w:t>部门</w:t>
      </w:r>
      <w:r>
        <w:rPr>
          <w:rFonts w:hint="eastAsia" w:ascii="仿宋_GB2312" w:hAnsi="仿宋_GB2312" w:eastAsia="仿宋_GB2312" w:cs="仿宋_GB2312"/>
          <w:color w:val="auto"/>
          <w:kern w:val="0"/>
          <w:sz w:val="32"/>
          <w:szCs w:val="32"/>
          <w:highlight w:val="none"/>
          <w:lang w:eastAsia="zh-CN" w:bidi="ar"/>
        </w:rPr>
        <w:t>自评重点</w:t>
      </w:r>
      <w:r>
        <w:rPr>
          <w:rFonts w:hint="eastAsia" w:ascii="仿宋_GB2312" w:hAnsi="仿宋_GB2312" w:eastAsia="仿宋_GB2312" w:cs="仿宋_GB2312"/>
          <w:color w:val="auto"/>
          <w:kern w:val="0"/>
          <w:sz w:val="32"/>
          <w:szCs w:val="32"/>
          <w:highlight w:val="none"/>
          <w:lang w:bidi="ar"/>
        </w:rPr>
        <w:t>项目数量</w:t>
      </w:r>
      <w:r>
        <w:rPr>
          <w:rFonts w:hint="eastAsia" w:ascii="仿宋_GB2312" w:hAnsi="仿宋_GB2312" w:eastAsia="仿宋_GB2312" w:cs="仿宋_GB2312"/>
          <w:color w:val="auto"/>
          <w:kern w:val="0"/>
          <w:sz w:val="32"/>
          <w:szCs w:val="32"/>
          <w:highlight w:val="none"/>
          <w:lang w:eastAsia="zh-CN" w:bidi="ar"/>
        </w:rPr>
        <w:t>为</w:t>
      </w:r>
      <w:r>
        <w:rPr>
          <w:rFonts w:hint="eastAsia" w:ascii="仿宋_GB2312" w:hAnsi="仿宋_GB2312" w:eastAsia="仿宋_GB2312" w:cs="仿宋_GB2312"/>
          <w:color w:val="auto"/>
          <w:kern w:val="0"/>
          <w:sz w:val="32"/>
          <w:szCs w:val="32"/>
          <w:highlight w:val="none"/>
          <w:lang w:val="en-US" w:eastAsia="zh-CN" w:bidi="ar"/>
        </w:rPr>
        <w:t>1</w:t>
      </w:r>
      <w:r>
        <w:rPr>
          <w:rFonts w:hint="eastAsia" w:ascii="仿宋_GB2312" w:hAnsi="仿宋_GB2312" w:eastAsia="仿宋_GB2312" w:cs="仿宋_GB2312"/>
          <w:color w:val="auto"/>
          <w:kern w:val="0"/>
          <w:sz w:val="32"/>
          <w:szCs w:val="32"/>
          <w:highlight w:val="none"/>
          <w:lang w:bidi="ar"/>
        </w:rPr>
        <w:t>个</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部门评价报告</w:t>
      </w:r>
      <w:r>
        <w:rPr>
          <w:rFonts w:hint="eastAsia" w:ascii="仿宋_GB2312" w:hAnsi="仿宋_GB2312" w:eastAsia="仿宋_GB2312" w:cs="仿宋_GB2312"/>
          <w:color w:val="auto"/>
          <w:kern w:val="0"/>
          <w:sz w:val="32"/>
          <w:szCs w:val="32"/>
          <w:highlight w:val="none"/>
          <w:lang w:eastAsia="zh-CN" w:bidi="ar"/>
        </w:rPr>
        <w:t>同本次决算一并</w:t>
      </w:r>
      <w:r>
        <w:rPr>
          <w:rFonts w:hint="eastAsia" w:ascii="仿宋_GB2312" w:hAnsi="仿宋_GB2312" w:eastAsia="仿宋_GB2312" w:cs="仿宋_GB2312"/>
          <w:color w:val="auto"/>
          <w:kern w:val="0"/>
          <w:sz w:val="32"/>
          <w:szCs w:val="32"/>
          <w:highlight w:val="none"/>
          <w:lang w:bidi="ar"/>
        </w:rPr>
        <w:t>公开</w:t>
      </w:r>
      <w:r>
        <w:rPr>
          <w:rFonts w:hint="eastAsia" w:ascii="仿宋_GB2312" w:eastAsia="仿宋_GB2312"/>
          <w:color w:val="auto"/>
          <w:sz w:val="32"/>
          <w:szCs w:val="32"/>
          <w:highlight w:val="none"/>
        </w:rPr>
        <w:t>。</w:t>
      </w:r>
    </w:p>
    <w:p w14:paraId="49ADEB1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（四）财政评价结果（如有）</w:t>
      </w:r>
    </w:p>
    <w:p w14:paraId="1C82572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2025年整体部门绩效评价已开展，现未出具报告，待报告及评分反馈后我单位将补公开。</w:t>
      </w:r>
    </w:p>
    <w:p w14:paraId="1027F58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十一、其他重要事项情况说明</w:t>
      </w:r>
    </w:p>
    <w:p w14:paraId="2780DFE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98" w:name="_Toc5978_WPSOffice_Level2"/>
      <w:bookmarkStart w:id="99" w:name="_Toc15262_WPSOffice_Level2"/>
      <w:bookmarkStart w:id="100" w:name="_Toc32639_WPSOffice_Level2"/>
      <w:bookmarkStart w:id="101" w:name="_Toc23598_WPSOffice_Level2"/>
      <w:bookmarkStart w:id="102" w:name="_Toc15565_WPSOffice_Level2"/>
      <w:bookmarkStart w:id="103" w:name="_Toc18325_WPSOffice_Level2"/>
      <w:r>
        <w:rPr>
          <w:rFonts w:hint="eastAsia" w:ascii="楷体" w:hAnsi="楷体" w:eastAsia="楷体" w:cs="楷体"/>
          <w:bCs/>
          <w:sz w:val="32"/>
          <w:szCs w:val="32"/>
        </w:rPr>
        <w:t>（一）机关运行经费支出情况</w:t>
      </w:r>
      <w:bookmarkEnd w:id="98"/>
      <w:bookmarkEnd w:id="99"/>
      <w:bookmarkEnd w:id="100"/>
      <w:bookmarkEnd w:id="101"/>
      <w:bookmarkEnd w:id="102"/>
      <w:bookmarkEnd w:id="103"/>
    </w:p>
    <w:p w14:paraId="791A173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lang w:eastAsia="zh-CN" w:bidi="ar"/>
        </w:rPr>
      </w:pPr>
      <w:r>
        <w:rPr>
          <w:rFonts w:hint="default" w:ascii="仿宋_GB2312" w:hAnsi="ˎ̥" w:eastAsia="仿宋_GB2312"/>
          <w:color w:val="auto"/>
          <w:sz w:val="32"/>
          <w:szCs w:val="32"/>
          <w:lang w:val="en-US"/>
        </w:rPr>
        <w:t>2025</w:t>
      </w:r>
      <w:r>
        <w:rPr>
          <w:rFonts w:hint="eastAsia" w:ascii="仿宋_GB2312" w:hAnsi="ˎ̥" w:eastAsia="仿宋_GB2312"/>
          <w:color w:val="auto"/>
          <w:sz w:val="32"/>
          <w:szCs w:val="32"/>
        </w:rPr>
        <w:t>年度</w:t>
      </w:r>
      <w:r>
        <w:rPr>
          <w:rFonts w:hint="eastAsia" w:ascii="仿宋_GB2312" w:hAnsi="ˎ̥" w:eastAsia="仿宋_GB2312"/>
          <w:color w:val="auto"/>
          <w:sz w:val="32"/>
          <w:szCs w:val="32"/>
          <w:lang w:eastAsia="zh-CN"/>
        </w:rPr>
        <w:t>西藏</w:t>
      </w:r>
      <w:r>
        <w:rPr>
          <w:rFonts w:hint="eastAsia" w:ascii="仿宋_GB2312" w:hAnsi="ˎ̥" w:eastAsia="仿宋_GB2312"/>
          <w:color w:val="auto"/>
          <w:sz w:val="32"/>
          <w:szCs w:val="32"/>
          <w:lang w:val="en-US" w:eastAsia="zh-CN"/>
        </w:rPr>
        <w:t>昌都市水利局</w:t>
      </w:r>
      <w:r>
        <w:rPr>
          <w:rFonts w:hint="eastAsia" w:ascii="仿宋_GB2312" w:hAnsi="ˎ̥" w:eastAsia="仿宋_GB2312"/>
          <w:color w:val="auto"/>
          <w:sz w:val="32"/>
          <w:szCs w:val="32"/>
        </w:rPr>
        <w:t>机关运行经费</w:t>
      </w:r>
      <w:r>
        <w:rPr>
          <w:rFonts w:hint="eastAsia" w:ascii="仿宋_GB2312" w:hAnsi="ˎ̥" w:eastAsia="仿宋_GB2312"/>
          <w:color w:val="auto"/>
          <w:sz w:val="32"/>
          <w:szCs w:val="32"/>
          <w:lang w:val="en-US" w:eastAsia="zh-CN"/>
        </w:rPr>
        <w:t>264.27</w:t>
      </w:r>
      <w:r>
        <w:rPr>
          <w:rFonts w:hint="eastAsia" w:ascii="仿宋_GB2312" w:hAnsi="ˎ̥" w:eastAsia="仿宋_GB2312"/>
          <w:color w:val="auto"/>
          <w:sz w:val="32"/>
          <w:szCs w:val="32"/>
        </w:rPr>
        <w:t>万元，</w:t>
      </w:r>
      <w:r>
        <w:rPr>
          <w:rFonts w:hint="eastAsia" w:ascii="仿宋_GB2312" w:hAnsi="ˎ̥" w:eastAsia="仿宋_GB2312"/>
          <w:color w:val="auto"/>
          <w:sz w:val="32"/>
          <w:szCs w:val="32"/>
          <w:lang w:val="en-US" w:eastAsia="zh-CN"/>
        </w:rPr>
        <w:t>完成预算的100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lang w:val="en-US" w:eastAsia="zh-CN"/>
        </w:rPr>
        <w:t>与</w:t>
      </w:r>
      <w:r>
        <w:rPr>
          <w:rFonts w:hint="default" w:ascii="仿宋_GB2312" w:hAnsi="ˎ̥" w:eastAsia="仿宋_GB2312"/>
          <w:color w:val="auto"/>
          <w:sz w:val="32"/>
          <w:szCs w:val="32"/>
          <w:lang w:val="en-US" w:eastAsia="zh-CN"/>
        </w:rPr>
        <w:t>2024</w:t>
      </w:r>
      <w:r>
        <w:rPr>
          <w:rFonts w:hint="eastAsia" w:ascii="仿宋_GB2312" w:hAnsi="ˎ̥" w:eastAsia="仿宋_GB2312"/>
          <w:color w:val="auto"/>
          <w:sz w:val="32"/>
          <w:szCs w:val="32"/>
          <w:lang w:val="en-US" w:eastAsia="zh-CN"/>
        </w:rPr>
        <w:t>年度相比，机关运行经费</w:t>
      </w:r>
      <w:r>
        <w:rPr>
          <w:rFonts w:hint="eastAsia" w:ascii="仿宋_GB2312" w:hAnsi="ˎ̥" w:eastAsia="仿宋_GB2312"/>
          <w:color w:val="auto"/>
          <w:sz w:val="32"/>
          <w:szCs w:val="32"/>
        </w:rPr>
        <w:t>增加</w:t>
      </w:r>
      <w:r>
        <w:rPr>
          <w:rFonts w:hint="eastAsia" w:ascii="仿宋_GB2312" w:hAnsi="ˎ̥" w:eastAsia="仿宋_GB2312"/>
          <w:color w:val="auto"/>
          <w:sz w:val="32"/>
          <w:szCs w:val="32"/>
          <w:lang w:val="en-US" w:eastAsia="zh-CN"/>
        </w:rPr>
        <w:t>28.58</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lang w:val="en-US" w:eastAsia="zh-CN"/>
        </w:rPr>
        <w:t>增长10.81%。</w:t>
      </w:r>
      <w:r>
        <w:rPr>
          <w:rFonts w:hint="eastAsia" w:ascii="仿宋_GB2312" w:hAnsi="ˎ̥" w:eastAsia="仿宋_GB2312"/>
          <w:color w:val="auto"/>
          <w:sz w:val="32"/>
          <w:szCs w:val="32"/>
        </w:rPr>
        <w:t>主要原因是：</w:t>
      </w:r>
      <w:r>
        <w:rPr>
          <w:rFonts w:hint="eastAsia" w:ascii="仿宋_GB2312" w:hAnsi="ˎ̥" w:eastAsia="仿宋_GB2312"/>
          <w:color w:val="auto"/>
          <w:sz w:val="32"/>
          <w:szCs w:val="32"/>
          <w:lang w:bidi="ar"/>
        </w:rPr>
        <w:t>人员数量增加</w:t>
      </w:r>
      <w:r>
        <w:rPr>
          <w:rFonts w:hint="eastAsia" w:ascii="仿宋_GB2312" w:hAnsi="ˎ̥" w:eastAsia="仿宋_GB2312"/>
          <w:color w:val="auto"/>
          <w:sz w:val="32"/>
          <w:szCs w:val="32"/>
          <w:lang w:eastAsia="zh-CN" w:bidi="ar"/>
        </w:rPr>
        <w:t>。</w:t>
      </w:r>
    </w:p>
    <w:p w14:paraId="1EC4003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104" w:name="_Toc3131_WPSOffice_Level2"/>
      <w:bookmarkStart w:id="105" w:name="_Toc32689_WPSOffice_Level2"/>
      <w:bookmarkStart w:id="106" w:name="_Toc30383_WPSOffice_Level2"/>
      <w:bookmarkStart w:id="107" w:name="_Toc25333_WPSOffice_Level2"/>
      <w:bookmarkStart w:id="108" w:name="_Toc13084_WPSOffice_Level2"/>
      <w:bookmarkStart w:id="109" w:name="_Toc23966_WPSOffice_Level2"/>
      <w:r>
        <w:rPr>
          <w:rFonts w:hint="eastAsia" w:ascii="楷体" w:hAnsi="楷体" w:eastAsia="楷体" w:cs="楷体"/>
          <w:bCs/>
          <w:color w:val="auto"/>
          <w:sz w:val="32"/>
          <w:szCs w:val="32"/>
        </w:rPr>
        <w:t>（二）政府采购支出情况</w:t>
      </w:r>
      <w:bookmarkEnd w:id="104"/>
      <w:bookmarkEnd w:id="105"/>
      <w:bookmarkEnd w:id="106"/>
      <w:bookmarkEnd w:id="107"/>
      <w:bookmarkEnd w:id="108"/>
      <w:bookmarkEnd w:id="109"/>
    </w:p>
    <w:p w14:paraId="7C251B6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ˎ̥" w:eastAsia="仿宋_GB2312"/>
          <w:color w:val="auto"/>
          <w:sz w:val="32"/>
          <w:szCs w:val="32"/>
          <w:lang w:eastAsia="zh-CN"/>
        </w:rPr>
      </w:pPr>
      <w:r>
        <w:rPr>
          <w:rFonts w:hint="default" w:ascii="仿宋_GB2312" w:hAnsi="ˎ̥" w:eastAsia="仿宋_GB2312"/>
          <w:color w:val="auto"/>
          <w:sz w:val="32"/>
          <w:szCs w:val="32"/>
          <w:lang w:val="en-US"/>
        </w:rPr>
        <w:t>2025</w:t>
      </w:r>
      <w:r>
        <w:rPr>
          <w:rFonts w:hint="eastAsia" w:ascii="仿宋_GB2312" w:hAnsi="ˎ̥" w:eastAsia="仿宋_GB2312"/>
          <w:color w:val="auto"/>
          <w:sz w:val="32"/>
          <w:szCs w:val="32"/>
        </w:rPr>
        <w:t>年度</w:t>
      </w:r>
      <w:r>
        <w:rPr>
          <w:rFonts w:hint="eastAsia" w:ascii="仿宋_GB2312" w:hAnsi="ˎ̥" w:eastAsia="仿宋_GB2312"/>
          <w:color w:val="auto"/>
          <w:sz w:val="32"/>
          <w:szCs w:val="32"/>
          <w:lang w:val="en-US" w:eastAsia="zh-CN"/>
        </w:rPr>
        <w:t>昌都市水利局</w:t>
      </w:r>
      <w:r>
        <w:rPr>
          <w:rFonts w:hint="eastAsia" w:ascii="仿宋_GB2312" w:hAnsi="ˎ̥" w:eastAsia="仿宋_GB2312"/>
          <w:color w:val="auto"/>
          <w:sz w:val="32"/>
          <w:szCs w:val="32"/>
        </w:rPr>
        <w:t>政府采购支出总额</w:t>
      </w:r>
      <w:r>
        <w:rPr>
          <w:rFonts w:hint="eastAsia" w:ascii="仿宋_GB2312" w:hAnsi="ˎ̥" w:eastAsia="仿宋_GB2312"/>
          <w:color w:val="auto"/>
          <w:sz w:val="32"/>
          <w:szCs w:val="32"/>
          <w:lang w:val="en-US" w:eastAsia="zh-CN"/>
        </w:rPr>
        <w:t>537.57</w:t>
      </w:r>
      <w:r>
        <w:rPr>
          <w:rFonts w:hint="eastAsia" w:ascii="仿宋_GB2312" w:hAnsi="ˎ̥" w:eastAsia="仿宋_GB2312"/>
          <w:color w:val="auto"/>
          <w:sz w:val="32"/>
          <w:szCs w:val="32"/>
        </w:rPr>
        <w:t>万元，其中：政府采购货物支出</w:t>
      </w:r>
      <w:r>
        <w:rPr>
          <w:rFonts w:hint="eastAsia" w:ascii="仿宋_GB2312" w:hAnsi="ˎ̥" w:eastAsia="仿宋_GB2312"/>
          <w:color w:val="auto"/>
          <w:sz w:val="32"/>
          <w:szCs w:val="32"/>
          <w:lang w:val="en-US" w:eastAsia="zh-CN"/>
        </w:rPr>
        <w:t>537.57</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占政府采购支出总额的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73C62EF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110" w:name="_Toc19989_WPSOffice_Level2"/>
      <w:bookmarkStart w:id="111" w:name="_Toc29584_WPSOffice_Level2"/>
      <w:bookmarkStart w:id="112" w:name="_Toc6016_WPSOffice_Level2"/>
      <w:bookmarkStart w:id="113" w:name="_Toc15129_WPSOffice_Level2"/>
      <w:bookmarkStart w:id="114" w:name="_Toc527_WPSOffice_Level2"/>
      <w:bookmarkStart w:id="115" w:name="_Toc10902_WPSOffice_Level2"/>
      <w:r>
        <w:rPr>
          <w:rFonts w:hint="eastAsia" w:ascii="楷体" w:hAnsi="楷体" w:eastAsia="楷体" w:cs="楷体"/>
          <w:bCs/>
          <w:sz w:val="32"/>
          <w:szCs w:val="32"/>
        </w:rPr>
        <w:t>（三）国有资产占用情况</w:t>
      </w:r>
      <w:bookmarkEnd w:id="110"/>
      <w:bookmarkEnd w:id="111"/>
      <w:bookmarkEnd w:id="112"/>
      <w:bookmarkEnd w:id="113"/>
      <w:bookmarkEnd w:id="114"/>
      <w:bookmarkEnd w:id="115"/>
    </w:p>
    <w:p w14:paraId="6364887B">
      <w:pPr>
        <w:spacing w:line="578" w:lineRule="exact"/>
        <w:ind w:firstLine="640" w:firstLineChars="200"/>
        <w:rPr>
          <w:rFonts w:hint="eastAsia" w:ascii="仿宋_GB2312" w:hAnsi="ˎ̥" w:eastAsia="仿宋_GB2312"/>
          <w:color w:val="auto"/>
          <w:sz w:val="32"/>
          <w:szCs w:val="32"/>
          <w:highlight w:val="none"/>
        </w:rPr>
      </w:pPr>
      <w:bookmarkStart w:id="116" w:name="_Toc11039_WPSOffice_Level1"/>
      <w:bookmarkStart w:id="117" w:name="_Toc8808_WPSOffice_Level1"/>
      <w:bookmarkStart w:id="118" w:name="_Toc8874_WPSOffice_Level1"/>
      <w:bookmarkStart w:id="119" w:name="_Toc17580_WPSOffice_Level1"/>
      <w:bookmarkStart w:id="120" w:name="_Toc4398_WPSOffice_Level1"/>
      <w:bookmarkStart w:id="121" w:name="_Toc15425_WPSOffice_Level1"/>
      <w:r>
        <w:rPr>
          <w:rFonts w:hint="eastAsia" w:ascii="仿宋_GB2312" w:hAnsi="ˎ̥" w:eastAsia="仿宋_GB2312"/>
          <w:bCs/>
          <w:color w:val="auto"/>
          <w:sz w:val="32"/>
          <w:szCs w:val="32"/>
          <w:highlight w:val="none"/>
        </w:rPr>
        <w:t>截至202</w:t>
      </w:r>
      <w:r>
        <w:rPr>
          <w:rFonts w:hint="eastAsia" w:ascii="仿宋_GB2312" w:hAnsi="ˎ̥" w:eastAsia="仿宋_GB2312"/>
          <w:bCs/>
          <w:color w:val="auto"/>
          <w:sz w:val="32"/>
          <w:szCs w:val="32"/>
          <w:highlight w:val="none"/>
          <w:lang w:val="en-US" w:eastAsia="zh-CN"/>
        </w:rPr>
        <w:t>5</w:t>
      </w:r>
      <w:r>
        <w:rPr>
          <w:rFonts w:hint="eastAsia" w:ascii="仿宋_GB2312" w:hAnsi="ˎ̥" w:eastAsia="仿宋_GB2312"/>
          <w:bCs/>
          <w:color w:val="auto"/>
          <w:sz w:val="32"/>
          <w:szCs w:val="32"/>
          <w:highlight w:val="none"/>
        </w:rPr>
        <w:t>年12月31日，本部门拥有</w:t>
      </w:r>
      <w:r>
        <w:rPr>
          <w:rFonts w:hint="eastAsia" w:ascii="仿宋_GB2312" w:hAnsi="ˎ̥" w:eastAsia="仿宋_GB2312"/>
          <w:color w:val="auto"/>
          <w:sz w:val="32"/>
          <w:szCs w:val="32"/>
          <w:highlight w:val="none"/>
        </w:rPr>
        <w:t>房屋面积</w:t>
      </w:r>
      <w:r>
        <w:rPr>
          <w:rFonts w:hint="eastAsia" w:ascii="仿宋_GB2312" w:hAnsi="ˎ̥" w:eastAsia="仿宋_GB2312"/>
          <w:color w:val="auto"/>
          <w:sz w:val="32"/>
          <w:szCs w:val="32"/>
          <w:highlight w:val="none"/>
          <w:lang w:val="en-US" w:eastAsia="zh-CN"/>
        </w:rPr>
        <w:t>18425.42</w:t>
      </w:r>
      <w:r>
        <w:rPr>
          <w:rFonts w:hint="eastAsia" w:ascii="仿宋_GB2312" w:hAnsi="ˎ̥" w:eastAsia="仿宋_GB2312"/>
          <w:color w:val="auto"/>
          <w:sz w:val="32"/>
          <w:szCs w:val="32"/>
          <w:highlight w:val="none"/>
        </w:rPr>
        <w:t>平方米，其中：办公用房</w:t>
      </w:r>
      <w:r>
        <w:rPr>
          <w:rFonts w:hint="eastAsia" w:ascii="仿宋_GB2312" w:hAnsi="ˎ̥" w:eastAsia="仿宋_GB2312"/>
          <w:color w:val="auto"/>
          <w:sz w:val="32"/>
          <w:szCs w:val="32"/>
          <w:highlight w:val="none"/>
          <w:lang w:val="en-US" w:eastAsia="zh-CN"/>
        </w:rPr>
        <w:t>1000</w:t>
      </w:r>
      <w:r>
        <w:rPr>
          <w:rFonts w:hint="eastAsia" w:ascii="仿宋_GB2312" w:hAnsi="ˎ̥" w:eastAsia="仿宋_GB2312"/>
          <w:color w:val="auto"/>
          <w:sz w:val="32"/>
          <w:szCs w:val="32"/>
          <w:highlight w:val="none"/>
        </w:rPr>
        <w:t>平方米，业务用房</w:t>
      </w:r>
      <w:r>
        <w:rPr>
          <w:rFonts w:hint="eastAsia" w:ascii="仿宋_GB2312" w:hAnsi="ˎ̥" w:eastAsia="仿宋_GB2312"/>
          <w:color w:val="auto"/>
          <w:sz w:val="32"/>
          <w:szCs w:val="32"/>
          <w:highlight w:val="none"/>
          <w:lang w:val="en-US" w:eastAsia="zh-CN"/>
        </w:rPr>
        <w:t>9213.33</w:t>
      </w:r>
      <w:r>
        <w:rPr>
          <w:rFonts w:hint="eastAsia" w:ascii="仿宋_GB2312" w:hAnsi="ˎ̥" w:eastAsia="仿宋_GB2312"/>
          <w:color w:val="auto"/>
          <w:sz w:val="32"/>
          <w:szCs w:val="32"/>
          <w:highlight w:val="none"/>
        </w:rPr>
        <w:t>平方米，其他（不含构筑物）</w:t>
      </w:r>
      <w:r>
        <w:rPr>
          <w:rFonts w:hint="eastAsia" w:ascii="仿宋_GB2312" w:hAnsi="ˎ̥" w:eastAsia="仿宋_GB2312"/>
          <w:color w:val="auto"/>
          <w:sz w:val="32"/>
          <w:szCs w:val="32"/>
          <w:highlight w:val="none"/>
          <w:lang w:val="en-US" w:eastAsia="zh-CN"/>
        </w:rPr>
        <w:t>8212.09</w:t>
      </w:r>
      <w:r>
        <w:rPr>
          <w:rFonts w:hint="eastAsia" w:ascii="仿宋_GB2312" w:hAnsi="ˎ̥" w:eastAsia="仿宋_GB2312"/>
          <w:color w:val="auto"/>
          <w:sz w:val="32"/>
          <w:szCs w:val="32"/>
          <w:highlight w:val="none"/>
        </w:rPr>
        <w:t>平方米。</w:t>
      </w:r>
    </w:p>
    <w:p w14:paraId="4C340847">
      <w:pPr>
        <w:spacing w:line="578" w:lineRule="exact"/>
        <w:ind w:firstLine="640" w:firstLineChars="200"/>
        <w:rPr>
          <w:rFonts w:hint="eastAsia" w:ascii="黑体" w:hAnsi="ˎ̥" w:eastAsia="黑体"/>
          <w:color w:val="auto"/>
          <w:sz w:val="32"/>
          <w:szCs w:val="32"/>
        </w:rPr>
      </w:pPr>
      <w:r>
        <w:rPr>
          <w:rFonts w:hint="eastAsia" w:ascii="仿宋_GB2312" w:hAnsi="ˎ̥" w:eastAsia="仿宋_GB2312"/>
          <w:color w:val="auto"/>
          <w:sz w:val="32"/>
          <w:szCs w:val="32"/>
          <w:highlight w:val="none"/>
        </w:rPr>
        <w:t>本部门共有车辆</w:t>
      </w:r>
      <w:r>
        <w:rPr>
          <w:rFonts w:hint="eastAsia" w:ascii="仿宋_GB2312" w:hAnsi="ˎ̥" w:eastAsia="仿宋_GB2312"/>
          <w:color w:val="auto"/>
          <w:sz w:val="32"/>
          <w:szCs w:val="32"/>
          <w:highlight w:val="none"/>
          <w:lang w:val="en-US" w:eastAsia="zh-CN"/>
        </w:rPr>
        <w:t>8</w:t>
      </w:r>
      <w:r>
        <w:rPr>
          <w:rFonts w:hint="eastAsia" w:ascii="仿宋_GB2312" w:hAnsi="ˎ̥" w:eastAsia="仿宋_GB2312"/>
          <w:color w:val="auto"/>
          <w:sz w:val="32"/>
          <w:szCs w:val="32"/>
          <w:highlight w:val="none"/>
        </w:rPr>
        <w:t>辆，其中，</w:t>
      </w:r>
      <w:r>
        <w:rPr>
          <w:rFonts w:hint="eastAsia" w:ascii="仿宋_GB2312" w:hAnsi="ˎ̥" w:eastAsia="仿宋_GB2312"/>
          <w:color w:val="auto"/>
          <w:sz w:val="32"/>
          <w:szCs w:val="32"/>
        </w:rPr>
        <w:t>特种专业技术用车</w:t>
      </w:r>
      <w:r>
        <w:rPr>
          <w:rFonts w:hint="eastAsia" w:ascii="仿宋_GB2312" w:hAnsi="ˎ̥" w:eastAsia="仿宋_GB2312"/>
          <w:color w:val="auto"/>
          <w:sz w:val="32"/>
          <w:szCs w:val="32"/>
          <w:lang w:val="en-US" w:eastAsia="zh-CN"/>
        </w:rPr>
        <w:t>1</w:t>
      </w:r>
      <w:r>
        <w:rPr>
          <w:rFonts w:hint="eastAsia" w:ascii="仿宋_GB2312" w:hAnsi="ˎ̥" w:eastAsia="仿宋_GB2312"/>
          <w:color w:val="auto"/>
          <w:sz w:val="32"/>
          <w:szCs w:val="32"/>
        </w:rPr>
        <w:t>辆、其他用车</w:t>
      </w:r>
      <w:r>
        <w:rPr>
          <w:rFonts w:hint="eastAsia" w:ascii="仿宋_GB2312" w:hAnsi="ˎ̥" w:eastAsia="仿宋_GB2312"/>
          <w:color w:val="auto"/>
          <w:sz w:val="32"/>
          <w:szCs w:val="32"/>
          <w:lang w:val="en-US" w:eastAsia="zh-CN"/>
        </w:rPr>
        <w:t>7</w:t>
      </w:r>
      <w:r>
        <w:rPr>
          <w:rFonts w:hint="eastAsia" w:ascii="仿宋_GB2312" w:hAnsi="ˎ̥" w:eastAsia="仿宋_GB2312"/>
          <w:color w:val="auto"/>
          <w:sz w:val="32"/>
          <w:szCs w:val="32"/>
        </w:rPr>
        <w:t>辆，其他用车主要是</w:t>
      </w:r>
      <w:r>
        <w:rPr>
          <w:rFonts w:hint="eastAsia" w:ascii="仿宋_GB2312" w:hAnsi="ˎ̥" w:eastAsia="仿宋_GB2312"/>
          <w:color w:val="auto"/>
          <w:sz w:val="32"/>
          <w:szCs w:val="32"/>
          <w:lang w:eastAsia="zh-CN"/>
        </w:rPr>
        <w:t>用于公务用车</w:t>
      </w:r>
      <w:r>
        <w:rPr>
          <w:rFonts w:hint="eastAsia" w:ascii="仿宋_GB2312" w:hAnsi="ˎ̥" w:eastAsia="仿宋_GB2312"/>
          <w:color w:val="auto"/>
          <w:sz w:val="32"/>
          <w:szCs w:val="32"/>
        </w:rPr>
        <w:t>。</w:t>
      </w:r>
    </w:p>
    <w:p w14:paraId="338BD4CC">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r>
        <w:rPr>
          <w:rFonts w:hint="eastAsia" w:ascii="黑体" w:hAnsi="ˎ̥" w:eastAsia="黑体"/>
          <w:sz w:val="32"/>
          <w:szCs w:val="32"/>
        </w:rPr>
        <w:t>第四部分  名词解释</w:t>
      </w:r>
      <w:bookmarkEnd w:id="116"/>
      <w:bookmarkEnd w:id="117"/>
      <w:bookmarkEnd w:id="118"/>
      <w:bookmarkEnd w:id="119"/>
      <w:bookmarkEnd w:id="120"/>
      <w:bookmarkEnd w:id="121"/>
    </w:p>
    <w:p w14:paraId="25E70122">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p>
    <w:p w14:paraId="5B582F98">
      <w:pPr>
        <w:keepNext w:val="0"/>
        <w:keepLines w:val="0"/>
        <w:pageBreakBefore w:val="0"/>
        <w:widowControl w:val="0"/>
        <w:numPr>
          <w:ilvl w:val="0"/>
          <w:numId w:val="5"/>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财政拨款收入：指同级政府财政部门当年拨付的各类财政拨款。</w:t>
      </w:r>
    </w:p>
    <w:p w14:paraId="590035B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二、上级补助收入：指事业单位从主管部门和上级单位取得的非财政补助收入。</w:t>
      </w:r>
    </w:p>
    <w:p w14:paraId="3025DB9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三、事业收入：指事业单位开展专业业务活动及辅助活动取得的收入。</w:t>
      </w:r>
    </w:p>
    <w:p w14:paraId="18DBF80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四、经营收入：指事业单位在专业业务活动及其辅助活动之外开展非独立核算经营活动取得的收入。</w:t>
      </w:r>
    </w:p>
    <w:p w14:paraId="20F962A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五、附属单位上缴收入：指事业单位取得附属独立核算单位根据有关规定上缴的收入。</w:t>
      </w:r>
    </w:p>
    <w:p w14:paraId="2EEB9DD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六、其他收入：指除上述“财政拨款收入”“事业收入”“上级补助收入”“经营收入”“附属单位上缴收入”等以外的收入。</w:t>
      </w:r>
    </w:p>
    <w:p w14:paraId="156BAD4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七、使用非财政拨款结余：指事业单位在当年的“财政拨款收入”“事业收入”“经营收入”“其他收入”等不足以安排当年支出的情况下，使用非同级财政拨款结余资金弥补本年度收支缺口。</w:t>
      </w:r>
    </w:p>
    <w:p w14:paraId="00429BF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八、年初结转和结余：指以前年度尚未完成、结转到本年按有关规定继续使用的资金，或项目已完成等产生的结余资金。</w:t>
      </w:r>
    </w:p>
    <w:p w14:paraId="2B7E156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九、结余分配：指事业单位缴纳企业所得税以及从非财政拨款结余或经营结余中提取各类结余的情况。</w:t>
      </w:r>
    </w:p>
    <w:p w14:paraId="1FDCAF0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十、年末结转和结余：指本年度或以前年度预算安排、因客观条件发生变化无法按原计划实施，需要延迟到以后年度按有关规定继续使用的资金（不包括事业单位非财政拨款结余和专用结余）。</w:t>
      </w:r>
    </w:p>
    <w:p w14:paraId="24FCBD8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十一、基本支出：指为保障机构正常运转、完成日常工作任务而发生的人员支出和公用支出。</w:t>
      </w:r>
    </w:p>
    <w:p w14:paraId="3C4D946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十二、项目支出：指在基本支出之外为完成特定行政任务和事业发展目标所发生的支出。</w:t>
      </w:r>
    </w:p>
    <w:p w14:paraId="5816CC7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十三、经营支出：指事业单位在专业业务活动及其辅助活动之外开展非独立核算经营活动发生的支出。</w:t>
      </w:r>
    </w:p>
    <w:p w14:paraId="59DDA28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2299675A">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eastAsia" w:ascii="仿宋_GB2312" w:hAnsi="ˎ̥" w:eastAsia="仿宋_GB2312"/>
          <w:sz w:val="32"/>
          <w:szCs w:val="32"/>
        </w:rPr>
      </w:pPr>
      <w:r>
        <w:rPr>
          <w:rFonts w:hint="eastAsia" w:ascii="仿宋_GB2312" w:hAnsi="ˎ̥" w:eastAsia="仿宋_GB2312"/>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49CBB672">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ascii="仿宋_GB2312" w:hAnsi="ˎ̥" w:eastAsia="仿宋_GB2312"/>
          <w:sz w:val="32"/>
          <w:szCs w:val="32"/>
        </w:rPr>
      </w:pPr>
      <w:r>
        <w:rPr>
          <w:rFonts w:hint="eastAsia" w:ascii="仿宋_GB2312" w:hAnsi="ˎ̥" w:eastAsia="仿宋_GB2312"/>
          <w:sz w:val="32"/>
          <w:szCs w:val="32"/>
        </w:rPr>
        <w:t>十六、</w:t>
      </w:r>
      <w:r>
        <w:rPr>
          <w:rFonts w:ascii="仿宋_GB2312" w:hAnsi="ˎ̥" w:eastAsia="仿宋_GB2312"/>
          <w:sz w:val="32"/>
          <w:szCs w:val="32"/>
        </w:rPr>
        <w:t>支出功能分类：</w:t>
      </w:r>
    </w:p>
    <w:p w14:paraId="36DF9392">
      <w:pPr>
        <w:spacing w:line="560" w:lineRule="exact"/>
        <w:ind w:firstLine="640" w:firstLineChars="200"/>
        <w:rPr>
          <w:rFonts w:hint="eastAsia" w:ascii="宋体" w:hAnsi="宋体" w:eastAsia="宋体" w:cs="宋体"/>
          <w:color w:val="auto"/>
          <w:sz w:val="32"/>
          <w:szCs w:val="32"/>
        </w:rPr>
      </w:pPr>
      <w:r>
        <w:rPr>
          <w:rFonts w:hint="eastAsia" w:ascii="仿宋_GB2312" w:hAnsi="ˎ̥" w:eastAsia="仿宋_GB2312"/>
          <w:color w:val="auto"/>
          <w:sz w:val="32"/>
          <w:szCs w:val="32"/>
          <w:lang w:eastAsia="zh-CN"/>
        </w:rPr>
        <w:t>根据</w:t>
      </w:r>
      <w:r>
        <w:rPr>
          <w:rFonts w:hint="eastAsia" w:ascii="仿宋_GB2312" w:hAnsi="ˎ̥" w:eastAsia="仿宋_GB2312"/>
          <w:color w:val="auto"/>
          <w:sz w:val="32"/>
          <w:szCs w:val="32"/>
        </w:rPr>
        <w:t>政部印发的《202</w:t>
      </w:r>
      <w:r>
        <w:rPr>
          <w:rFonts w:hint="eastAsia" w:ascii="仿宋_GB2312" w:hAnsi="ˎ̥" w:eastAsia="仿宋_GB2312"/>
          <w:color w:val="auto"/>
          <w:sz w:val="32"/>
          <w:szCs w:val="32"/>
          <w:lang w:val="en-US" w:eastAsia="zh-CN"/>
        </w:rPr>
        <w:t>5</w:t>
      </w:r>
      <w:r>
        <w:rPr>
          <w:rFonts w:hint="eastAsia" w:ascii="仿宋_GB2312" w:hAnsi="ˎ̥" w:eastAsia="仿宋_GB2312"/>
          <w:color w:val="auto"/>
          <w:sz w:val="32"/>
          <w:szCs w:val="32"/>
        </w:rPr>
        <w:t>年政府收支分类科目》）</w:t>
      </w:r>
      <w:r>
        <w:rPr>
          <w:rFonts w:hint="eastAsia" w:ascii="仿宋_GB2312" w:hAnsi="ˎ̥" w:eastAsia="仿宋_GB2312"/>
          <w:color w:val="auto"/>
          <w:sz w:val="32"/>
          <w:szCs w:val="32"/>
          <w:lang w:eastAsia="zh-CN"/>
        </w:rPr>
        <w:t>要求，我局</w:t>
      </w:r>
      <w:r>
        <w:rPr>
          <w:rFonts w:hint="eastAsia" w:ascii="仿宋_GB2312" w:hAnsi="ˎ̥" w:eastAsia="仿宋_GB2312"/>
          <w:color w:val="auto"/>
          <w:sz w:val="32"/>
          <w:szCs w:val="32"/>
        </w:rPr>
        <w:t>20</w:t>
      </w:r>
      <w:r>
        <w:rPr>
          <w:rFonts w:hint="eastAsia" w:ascii="仿宋_GB2312" w:hAnsi="ˎ̥" w:eastAsia="仿宋_GB2312"/>
          <w:color w:val="auto"/>
          <w:sz w:val="32"/>
          <w:szCs w:val="32"/>
          <w:lang w:val="en-US" w:eastAsia="zh-CN"/>
        </w:rPr>
        <w:t>25</w:t>
      </w:r>
      <w:r>
        <w:rPr>
          <w:rFonts w:hint="eastAsia" w:ascii="仿宋_GB2312" w:hAnsi="ˎ̥" w:eastAsia="仿宋_GB2312"/>
          <w:color w:val="auto"/>
          <w:sz w:val="32"/>
          <w:szCs w:val="32"/>
        </w:rPr>
        <w:t>年支出科目编码</w:t>
      </w:r>
      <w:r>
        <w:rPr>
          <w:rFonts w:hint="eastAsia" w:ascii="仿宋_GB2312" w:hAnsi="ˎ̥" w:eastAsia="仿宋_GB2312"/>
          <w:color w:val="auto"/>
          <w:sz w:val="32"/>
          <w:szCs w:val="32"/>
          <w:lang w:eastAsia="zh-CN"/>
        </w:rPr>
        <w:t>如下</w:t>
      </w:r>
      <w:r>
        <w:rPr>
          <w:rFonts w:hint="eastAsia" w:ascii="宋体" w:hAnsi="宋体" w:eastAsia="宋体" w:cs="宋体"/>
          <w:color w:val="auto"/>
          <w:sz w:val="32"/>
          <w:szCs w:val="32"/>
        </w:rPr>
        <w:t>：</w:t>
      </w:r>
    </w:p>
    <w:p w14:paraId="36B8ED72">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208     社会保障和就业支出</w:t>
      </w:r>
    </w:p>
    <w:p w14:paraId="540D27F9">
      <w:pPr>
        <w:spacing w:line="578" w:lineRule="exact"/>
        <w:ind w:firstLine="645"/>
        <w:rPr>
          <w:rFonts w:hint="default"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20805    行政事业单位养老支出</w:t>
      </w:r>
    </w:p>
    <w:p w14:paraId="34220353">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2080505   机关事业单位基本养老保险缴费支出</w:t>
      </w:r>
    </w:p>
    <w:p w14:paraId="580CE9A2">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210       卫生健康支出</w:t>
      </w:r>
    </w:p>
    <w:p w14:paraId="4AB034CC">
      <w:pPr>
        <w:spacing w:line="578" w:lineRule="exact"/>
        <w:ind w:firstLine="645"/>
        <w:rPr>
          <w:rFonts w:hint="default"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21011     行政事业单位医疗</w:t>
      </w:r>
    </w:p>
    <w:p w14:paraId="50F59950">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2101101   行政单位医疗</w:t>
      </w:r>
    </w:p>
    <w:p w14:paraId="3932CC97">
      <w:pPr>
        <w:spacing w:line="578" w:lineRule="exact"/>
        <w:ind w:firstLine="645"/>
        <w:rPr>
          <w:rFonts w:hint="eastAsia" w:ascii="仿宋_GB2312" w:hAnsi="ˎ̥" w:eastAsia="仿宋_GB2312"/>
          <w:color w:val="auto"/>
          <w:sz w:val="32"/>
          <w:szCs w:val="32"/>
        </w:rPr>
      </w:pPr>
      <w:r>
        <w:rPr>
          <w:rFonts w:hint="eastAsia" w:ascii="仿宋_GB2312" w:hAnsi="ˎ̥" w:eastAsia="仿宋_GB2312"/>
          <w:color w:val="auto"/>
          <w:sz w:val="32"/>
          <w:szCs w:val="32"/>
          <w:lang w:val="en-US" w:eastAsia="zh-CN"/>
        </w:rPr>
        <w:t>2101103    公务员医疗补助</w:t>
      </w:r>
    </w:p>
    <w:p w14:paraId="3161A576">
      <w:pPr>
        <w:spacing w:line="578" w:lineRule="exact"/>
        <w:ind w:firstLine="645"/>
        <w:rPr>
          <w:rFonts w:hint="default"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213        农林水支出</w:t>
      </w:r>
    </w:p>
    <w:p w14:paraId="2378DD58">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21303      水利</w:t>
      </w:r>
    </w:p>
    <w:p w14:paraId="188D346A">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rPr>
        <w:t>213030</w:t>
      </w:r>
      <w:r>
        <w:rPr>
          <w:rFonts w:hint="eastAsia" w:ascii="仿宋_GB2312" w:hAnsi="ˎ̥" w:eastAsia="仿宋_GB2312"/>
          <w:color w:val="auto"/>
          <w:sz w:val="32"/>
          <w:szCs w:val="32"/>
          <w:lang w:val="en-US" w:eastAsia="zh-CN"/>
        </w:rPr>
        <w:t>1    行政运行</w:t>
      </w:r>
    </w:p>
    <w:p w14:paraId="3598908D">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rPr>
        <w:t>213030</w:t>
      </w:r>
      <w:r>
        <w:rPr>
          <w:rFonts w:hint="eastAsia" w:ascii="仿宋_GB2312" w:hAnsi="ˎ̥" w:eastAsia="仿宋_GB2312"/>
          <w:color w:val="auto"/>
          <w:sz w:val="32"/>
          <w:szCs w:val="32"/>
          <w:lang w:val="en-US" w:eastAsia="zh-CN"/>
        </w:rPr>
        <w:t xml:space="preserve">2    一般行政管理事务 </w:t>
      </w:r>
    </w:p>
    <w:p w14:paraId="4CBB1BFE">
      <w:pPr>
        <w:spacing w:line="578" w:lineRule="exact"/>
        <w:ind w:firstLine="645"/>
        <w:rPr>
          <w:rFonts w:hint="default"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2130304    水利行业业务管理</w:t>
      </w:r>
    </w:p>
    <w:p w14:paraId="5F881217">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2130305    水利工程建设</w:t>
      </w:r>
    </w:p>
    <w:p w14:paraId="4801ED02">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 xml:space="preserve">2130308    水利前期工作 </w:t>
      </w:r>
    </w:p>
    <w:p w14:paraId="6CF956C1">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2130310    水土保持</w:t>
      </w:r>
    </w:p>
    <w:p w14:paraId="46950A17">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2130311    水资源节约管理与保护</w:t>
      </w:r>
    </w:p>
    <w:p w14:paraId="789C5AA3">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2130312    水质监测</w:t>
      </w:r>
    </w:p>
    <w:p w14:paraId="13A7546D">
      <w:pPr>
        <w:spacing w:line="578" w:lineRule="exact"/>
        <w:ind w:firstLine="645"/>
        <w:rPr>
          <w:rFonts w:hint="default"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2130313    水文测报</w:t>
      </w:r>
    </w:p>
    <w:p w14:paraId="51D72D54">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2130314    防汛</w:t>
      </w:r>
    </w:p>
    <w:p w14:paraId="5F45DF43">
      <w:pPr>
        <w:spacing w:line="578" w:lineRule="exact"/>
        <w:ind w:firstLine="645"/>
        <w:rPr>
          <w:rFonts w:hint="default"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2130319    江河湖库水系综合整治</w:t>
      </w:r>
    </w:p>
    <w:p w14:paraId="4DC06C84">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 xml:space="preserve">2130322    水利安全监督  </w:t>
      </w:r>
    </w:p>
    <w:p w14:paraId="5F78EA52">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2130399    其他水利支出</w:t>
      </w:r>
    </w:p>
    <w:p w14:paraId="700332E5">
      <w:pPr>
        <w:spacing w:line="578" w:lineRule="exact"/>
        <w:ind w:firstLine="645"/>
        <w:rPr>
          <w:rFonts w:hint="eastAsia" w:ascii="仿宋_GB2312" w:hAnsi="ˎ̥" w:eastAsia="仿宋_GB2312"/>
          <w:color w:val="auto"/>
          <w:sz w:val="32"/>
          <w:szCs w:val="32"/>
        </w:rPr>
      </w:pPr>
      <w:r>
        <w:rPr>
          <w:rFonts w:hint="eastAsia" w:ascii="仿宋_GB2312" w:hAnsi="ˎ̥" w:eastAsia="仿宋_GB2312"/>
          <w:color w:val="auto"/>
          <w:sz w:val="32"/>
          <w:szCs w:val="32"/>
        </w:rPr>
        <w:t>221</w:t>
      </w:r>
      <w:r>
        <w:rPr>
          <w:rFonts w:hint="eastAsia" w:ascii="仿宋_GB2312" w:hAnsi="ˎ̥" w:eastAsia="仿宋_GB2312"/>
          <w:color w:val="auto"/>
          <w:sz w:val="32"/>
          <w:szCs w:val="32"/>
          <w:lang w:val="en-US" w:eastAsia="zh-CN"/>
        </w:rPr>
        <w:t xml:space="preserve">        </w:t>
      </w:r>
      <w:r>
        <w:rPr>
          <w:rFonts w:hint="eastAsia" w:ascii="仿宋_GB2312" w:hAnsi="ˎ̥" w:eastAsia="仿宋_GB2312"/>
          <w:color w:val="auto"/>
          <w:sz w:val="32"/>
          <w:szCs w:val="32"/>
        </w:rPr>
        <w:t>住房保障支出</w:t>
      </w:r>
    </w:p>
    <w:p w14:paraId="186D1E13">
      <w:pPr>
        <w:spacing w:line="578" w:lineRule="exact"/>
        <w:ind w:firstLine="645"/>
        <w:rPr>
          <w:rFonts w:hint="eastAsia" w:ascii="仿宋_GB2312" w:hAnsi="ˎ̥" w:eastAsia="仿宋_GB2312"/>
          <w:color w:val="auto"/>
          <w:sz w:val="32"/>
          <w:szCs w:val="32"/>
        </w:rPr>
      </w:pPr>
      <w:r>
        <w:rPr>
          <w:rFonts w:hint="eastAsia" w:ascii="仿宋_GB2312" w:hAnsi="ˎ̥" w:eastAsia="仿宋_GB2312"/>
          <w:color w:val="auto"/>
          <w:sz w:val="32"/>
          <w:szCs w:val="32"/>
        </w:rPr>
        <w:t>22102</w:t>
      </w:r>
      <w:r>
        <w:rPr>
          <w:rFonts w:hint="eastAsia" w:ascii="仿宋_GB2312" w:hAnsi="ˎ̥" w:eastAsia="仿宋_GB2312"/>
          <w:color w:val="auto"/>
          <w:sz w:val="32"/>
          <w:szCs w:val="32"/>
          <w:lang w:val="en-US" w:eastAsia="zh-CN"/>
        </w:rPr>
        <w:t xml:space="preserve">      </w:t>
      </w:r>
      <w:r>
        <w:rPr>
          <w:rFonts w:hint="eastAsia" w:ascii="仿宋_GB2312" w:hAnsi="ˎ̥" w:eastAsia="仿宋_GB2312"/>
          <w:color w:val="auto"/>
          <w:sz w:val="32"/>
          <w:szCs w:val="32"/>
        </w:rPr>
        <w:t>住房改革支出</w:t>
      </w:r>
    </w:p>
    <w:p w14:paraId="66CB1F52">
      <w:pPr>
        <w:spacing w:line="578" w:lineRule="exact"/>
        <w:ind w:firstLine="645"/>
        <w:rPr>
          <w:rFonts w:hint="eastAsia" w:ascii="仿宋_GB2312" w:hAnsi="ˎ̥" w:eastAsia="仿宋_GB2312"/>
          <w:color w:val="auto"/>
          <w:sz w:val="32"/>
          <w:szCs w:val="32"/>
        </w:rPr>
      </w:pPr>
      <w:r>
        <w:rPr>
          <w:rFonts w:hint="eastAsia" w:ascii="仿宋_GB2312" w:hAnsi="ˎ̥" w:eastAsia="仿宋_GB2312"/>
          <w:color w:val="auto"/>
          <w:sz w:val="32"/>
          <w:szCs w:val="32"/>
        </w:rPr>
        <w:t>2210201</w:t>
      </w:r>
      <w:r>
        <w:rPr>
          <w:rFonts w:hint="eastAsia" w:ascii="仿宋_GB2312" w:hAnsi="ˎ̥" w:eastAsia="仿宋_GB2312"/>
          <w:color w:val="auto"/>
          <w:sz w:val="32"/>
          <w:szCs w:val="32"/>
          <w:lang w:val="en-US" w:eastAsia="zh-CN"/>
        </w:rPr>
        <w:t xml:space="preserve">    </w:t>
      </w:r>
      <w:r>
        <w:rPr>
          <w:rFonts w:hint="eastAsia" w:ascii="仿宋_GB2312" w:hAnsi="ˎ̥" w:eastAsia="仿宋_GB2312"/>
          <w:color w:val="auto"/>
          <w:sz w:val="32"/>
          <w:szCs w:val="32"/>
        </w:rPr>
        <w:t>住房公积金</w:t>
      </w:r>
    </w:p>
    <w:p w14:paraId="179E6839">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229        其他支出</w:t>
      </w:r>
    </w:p>
    <w:p w14:paraId="0048AEAC">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20199      其他支出</w:t>
      </w:r>
    </w:p>
    <w:p w14:paraId="3B45AA69">
      <w:pPr>
        <w:spacing w:line="578" w:lineRule="exact"/>
        <w:ind w:firstLine="645"/>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2019999    其他支出</w:t>
      </w:r>
    </w:p>
    <w:p w14:paraId="3E78FD30">
      <w:pPr>
        <w:spacing w:line="578" w:lineRule="exact"/>
      </w:pPr>
    </w:p>
    <w:p w14:paraId="54C30676">
      <w:pPr>
        <w:keepNext w:val="0"/>
        <w:keepLines w:val="0"/>
        <w:pageBreakBefore w:val="0"/>
        <w:widowControl w:val="0"/>
        <w:kinsoku/>
        <w:wordWrap/>
        <w:overflowPunct/>
        <w:topLinePunct w:val="0"/>
        <w:autoSpaceDE/>
        <w:autoSpaceDN/>
        <w:bidi w:val="0"/>
        <w:adjustRightInd/>
        <w:snapToGrid/>
        <w:spacing w:line="578" w:lineRule="exact"/>
        <w:textAlignment w:val="auto"/>
      </w:pP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800002BF" w:usb1="38CF7CFA" w:usb2="00000016" w:usb3="00000000" w:csb0="00040000"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3E35E">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18</w:t>
    </w:r>
    <w:r>
      <w:fldChar w:fldCharType="end"/>
    </w:r>
  </w:p>
  <w:p w14:paraId="7F54681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B8957">
    <w:pPr>
      <w:pStyle w:val="4"/>
      <w:framePr w:wrap="around" w:vAnchor="text" w:hAnchor="margin" w:xAlign="center" w:y="1"/>
      <w:rPr>
        <w:rStyle w:val="10"/>
      </w:rPr>
    </w:pPr>
    <w:r>
      <w:fldChar w:fldCharType="begin"/>
    </w:r>
    <w:r>
      <w:rPr>
        <w:rStyle w:val="10"/>
      </w:rPr>
      <w:instrText xml:space="preserve">PAGE  </w:instrText>
    </w:r>
    <w:r>
      <w:fldChar w:fldCharType="separate"/>
    </w:r>
    <w:r>
      <w:fldChar w:fldCharType="end"/>
    </w:r>
  </w:p>
  <w:p w14:paraId="2B1737E9">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CC612B39"/>
    <w:multiLevelType w:val="singleLevel"/>
    <w:tmpl w:val="CC612B39"/>
    <w:lvl w:ilvl="0" w:tentative="0">
      <w:start w:val="3"/>
      <w:numFmt w:val="decimal"/>
      <w:suff w:val="nothing"/>
      <w:lvlText w:val="%1、"/>
      <w:lvlJc w:val="left"/>
    </w:lvl>
  </w:abstractNum>
  <w:abstractNum w:abstractNumId="2">
    <w:nsid w:val="CEA121FE"/>
    <w:multiLevelType w:val="singleLevel"/>
    <w:tmpl w:val="CEA121FE"/>
    <w:lvl w:ilvl="0" w:tentative="0">
      <w:start w:val="1"/>
      <w:numFmt w:val="decimal"/>
      <w:lvlText w:val="%1."/>
      <w:lvlJc w:val="left"/>
      <w:pPr>
        <w:tabs>
          <w:tab w:val="left" w:pos="312"/>
        </w:tabs>
      </w:pPr>
    </w:lvl>
  </w:abstractNum>
  <w:abstractNum w:abstractNumId="3">
    <w:nsid w:val="FB9EB957"/>
    <w:multiLevelType w:val="singleLevel"/>
    <w:tmpl w:val="FB9EB957"/>
    <w:lvl w:ilvl="0" w:tentative="0">
      <w:start w:val="1"/>
      <w:numFmt w:val="chineseCounting"/>
      <w:suff w:val="nothing"/>
      <w:lvlText w:val="%1、"/>
      <w:lvlJc w:val="left"/>
      <w:rPr>
        <w:rFonts w:hint="eastAsia"/>
      </w:rPr>
    </w:lvl>
  </w:abstractNum>
  <w:abstractNum w:abstractNumId="4">
    <w:nsid w:val="72109F8D"/>
    <w:multiLevelType w:val="singleLevel"/>
    <w:tmpl w:val="72109F8D"/>
    <w:lvl w:ilvl="0" w:tentative="0">
      <w:start w:val="7"/>
      <w:numFmt w:val="chineseCounting"/>
      <w:suff w:val="nothing"/>
      <w:lvlText w:val="%1、"/>
      <w:lvlJc w:val="left"/>
      <w:rPr>
        <w:rFonts w:hint="eastAsia"/>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6BE0E85"/>
    <w:rsid w:val="09201287"/>
    <w:rsid w:val="0A9D6FE9"/>
    <w:rsid w:val="0EC20B81"/>
    <w:rsid w:val="0FC80124"/>
    <w:rsid w:val="11C7668B"/>
    <w:rsid w:val="136F98C7"/>
    <w:rsid w:val="15F86287"/>
    <w:rsid w:val="16DE3A4C"/>
    <w:rsid w:val="17427E68"/>
    <w:rsid w:val="1755065F"/>
    <w:rsid w:val="187D6D1C"/>
    <w:rsid w:val="188A3B28"/>
    <w:rsid w:val="1AF72C20"/>
    <w:rsid w:val="1AFC29C9"/>
    <w:rsid w:val="1CA52F2E"/>
    <w:rsid w:val="1DFE370B"/>
    <w:rsid w:val="1E3630B9"/>
    <w:rsid w:val="26EEC2B5"/>
    <w:rsid w:val="277A2330"/>
    <w:rsid w:val="29472309"/>
    <w:rsid w:val="29BA233C"/>
    <w:rsid w:val="2A3946D4"/>
    <w:rsid w:val="2B406E77"/>
    <w:rsid w:val="2C2A0C43"/>
    <w:rsid w:val="2D1E73A5"/>
    <w:rsid w:val="2EAF1F4A"/>
    <w:rsid w:val="32717154"/>
    <w:rsid w:val="34B63260"/>
    <w:rsid w:val="36826B54"/>
    <w:rsid w:val="37FDA7E2"/>
    <w:rsid w:val="388F7096"/>
    <w:rsid w:val="3A314D88"/>
    <w:rsid w:val="3A746883"/>
    <w:rsid w:val="3B275BCC"/>
    <w:rsid w:val="3CA15DE9"/>
    <w:rsid w:val="3E2B1551"/>
    <w:rsid w:val="3F0942E3"/>
    <w:rsid w:val="3FE61EE5"/>
    <w:rsid w:val="406508EE"/>
    <w:rsid w:val="40896526"/>
    <w:rsid w:val="408D6263"/>
    <w:rsid w:val="41B40CEE"/>
    <w:rsid w:val="435873B6"/>
    <w:rsid w:val="48317291"/>
    <w:rsid w:val="485F7024"/>
    <w:rsid w:val="48E70666"/>
    <w:rsid w:val="49497D86"/>
    <w:rsid w:val="4C6877E5"/>
    <w:rsid w:val="4D6A468D"/>
    <w:rsid w:val="4EA86137"/>
    <w:rsid w:val="551410D3"/>
    <w:rsid w:val="55572DB9"/>
    <w:rsid w:val="56CA7FD0"/>
    <w:rsid w:val="57FA38D1"/>
    <w:rsid w:val="59393290"/>
    <w:rsid w:val="5ACD2D08"/>
    <w:rsid w:val="5C1144AF"/>
    <w:rsid w:val="5E731BEC"/>
    <w:rsid w:val="5F7D3333"/>
    <w:rsid w:val="61385890"/>
    <w:rsid w:val="61B84119"/>
    <w:rsid w:val="61BA1B64"/>
    <w:rsid w:val="627616FA"/>
    <w:rsid w:val="64DF380F"/>
    <w:rsid w:val="6538719C"/>
    <w:rsid w:val="687436E1"/>
    <w:rsid w:val="6D7E1DC5"/>
    <w:rsid w:val="6DA45C50"/>
    <w:rsid w:val="6E9A7825"/>
    <w:rsid w:val="6F670F9B"/>
    <w:rsid w:val="708A6D8A"/>
    <w:rsid w:val="737450E0"/>
    <w:rsid w:val="74054476"/>
    <w:rsid w:val="742F38C4"/>
    <w:rsid w:val="74AB66DC"/>
    <w:rsid w:val="74AF3CEF"/>
    <w:rsid w:val="74C4154C"/>
    <w:rsid w:val="7564586D"/>
    <w:rsid w:val="75956FFF"/>
    <w:rsid w:val="77AA2D01"/>
    <w:rsid w:val="7CDE1DBD"/>
    <w:rsid w:val="7D943A85"/>
    <w:rsid w:val="7DB0448C"/>
    <w:rsid w:val="7E54609A"/>
    <w:rsid w:val="7E5F9AA4"/>
    <w:rsid w:val="8FFC8888"/>
    <w:rsid w:val="A7F73C99"/>
    <w:rsid w:val="BFFE3BF4"/>
    <w:rsid w:val="DFEBDA37"/>
    <w:rsid w:val="EF6FCA1D"/>
    <w:rsid w:val="EFFF57D6"/>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szCs w:val="24"/>
    </w:rPr>
  </w:style>
  <w:style w:type="paragraph" w:styleId="7">
    <w:name w:val="annotation subject"/>
    <w:basedOn w:val="2"/>
    <w:next w:val="2"/>
    <w:link w:val="15"/>
    <w:qFormat/>
    <w:uiPriority w:val="0"/>
    <w:rPr>
      <w:b/>
      <w:bCs/>
    </w:rPr>
  </w:style>
  <w:style w:type="character" w:styleId="10">
    <w:name w:val="page number"/>
    <w:qFormat/>
    <w:uiPriority w:val="0"/>
  </w:style>
  <w:style w:type="character" w:styleId="11">
    <w:name w:val="annotation reference"/>
    <w:qFormat/>
    <w:uiPriority w:val="0"/>
    <w:rPr>
      <w:sz w:val="21"/>
      <w:szCs w:val="21"/>
    </w:rPr>
  </w:style>
  <w:style w:type="character" w:customStyle="1" w:styleId="12">
    <w:name w:val="批注文字 Char"/>
    <w:link w:val="2"/>
    <w:qFormat/>
    <w:uiPriority w:val="0"/>
    <w:rPr>
      <w:kern w:val="2"/>
      <w:sz w:val="21"/>
      <w:szCs w:val="24"/>
    </w:rPr>
  </w:style>
  <w:style w:type="character" w:customStyle="1" w:styleId="13">
    <w:name w:val="批注框文本 Char"/>
    <w:link w:val="3"/>
    <w:qFormat/>
    <w:uiPriority w:val="0"/>
    <w:rPr>
      <w:kern w:val="2"/>
      <w:sz w:val="18"/>
      <w:szCs w:val="18"/>
    </w:rPr>
  </w:style>
  <w:style w:type="character" w:customStyle="1" w:styleId="14">
    <w:name w:val="页眉 Char"/>
    <w:link w:val="5"/>
    <w:qFormat/>
    <w:uiPriority w:val="0"/>
    <w:rPr>
      <w:kern w:val="2"/>
      <w:sz w:val="18"/>
      <w:szCs w:val="18"/>
    </w:rPr>
  </w:style>
  <w:style w:type="character" w:customStyle="1" w:styleId="15">
    <w:name w:val="批注主题 Char"/>
    <w:link w:val="7"/>
    <w:qFormat/>
    <w:uiPriority w:val="0"/>
    <w:rPr>
      <w:b/>
      <w:bCs/>
      <w:kern w:val="2"/>
      <w:sz w:val="21"/>
      <w:szCs w:val="24"/>
    </w:rPr>
  </w:style>
  <w:style w:type="paragraph" w:customStyle="1" w:styleId="16">
    <w:name w:val="WPSOffice手动目录 1"/>
    <w:qFormat/>
    <w:uiPriority w:val="0"/>
    <w:rPr>
      <w:rFonts w:ascii="Times New Roman" w:hAnsi="Times New Roman" w:eastAsia="宋体" w:cs="Times New Roman"/>
      <w:lang w:val="en-US" w:eastAsia="zh-CN" w:bidi="ar-SA"/>
    </w:rPr>
  </w:style>
  <w:style w:type="paragraph" w:customStyle="1" w:styleId="17">
    <w:name w:val="WPSOffice手动目录 2"/>
    <w:qFormat/>
    <w:uiPriority w:val="0"/>
    <w:pPr>
      <w:ind w:leftChars="200"/>
    </w:pPr>
    <w:rPr>
      <w:rFonts w:ascii="Times New Roman" w:hAnsi="Times New Roman" w:eastAsia="宋体" w:cs="Times New Roman"/>
      <w:lang w:val="en-US" w:eastAsia="zh-CN" w:bidi="ar-SA"/>
    </w:rPr>
  </w:style>
  <w:style w:type="paragraph" w:customStyle="1" w:styleId="18">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12328</Words>
  <Characters>13606</Characters>
  <Lines>67</Lines>
  <Paragraphs>18</Paragraphs>
  <TotalTime>10</TotalTime>
  <ScaleCrop>false</ScaleCrop>
  <LinksUpToDate>false</LinksUpToDate>
  <CharactersWithSpaces>13857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巩世鹏</cp:lastModifiedBy>
  <cp:lastPrinted>2026-08-03T04:22:00Z</cp:lastPrinted>
  <dcterms:modified xsi:type="dcterms:W3CDTF">2026-09-06T09:40:35Z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022F6BE4AC10408D96C0582C69E1CDE0_13</vt:lpwstr>
  </property>
  <property fmtid="{D5CDD505-2E9C-101B-9397-08002B2CF9AE}" pid="4" name="KSOTemplateDocerSaveRecord">
    <vt:lpwstr>eyJoZGlkIjoiY2VlZThlZDk5ZTQ4MTFjNGY3MjIxNTdiOWMzZmQwMWMiLCJ1c2VySWQiOiIyMzQ5MTc1OTYifQ==</vt:lpwstr>
  </property>
</Properties>
</file>